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F55C" w14:textId="77777777" w:rsidR="00DA336B" w:rsidRPr="007B4E4C" w:rsidRDefault="00000000">
      <w:pPr>
        <w:pStyle w:val="Corpodetexto"/>
        <w:ind w:left="840"/>
        <w:rPr>
          <w:rFonts w:asciiTheme="minorHAnsi" w:hAnsiTheme="minorHAnsi" w:cstheme="minorHAnsi"/>
          <w:sz w:val="20"/>
        </w:rPr>
      </w:pPr>
      <w:r w:rsidRPr="007B4E4C">
        <w:rPr>
          <w:rFonts w:asciiTheme="minorHAnsi" w:hAnsiTheme="minorHAnsi" w:cstheme="minorHAnsi"/>
          <w:noProof/>
          <w:sz w:val="20"/>
        </w:rPr>
        <w:drawing>
          <wp:anchor distT="0" distB="0" distL="0" distR="0" simplePos="0" relativeHeight="54" behindDoc="0" locked="0" layoutInCell="1" allowOverlap="1" wp14:anchorId="0E8BE432" wp14:editId="27BE063E">
            <wp:simplePos x="0" y="0"/>
            <wp:positionH relativeFrom="column">
              <wp:posOffset>-1186180</wp:posOffset>
            </wp:positionH>
            <wp:positionV relativeFrom="paragraph">
              <wp:posOffset>-892175</wp:posOffset>
            </wp:positionV>
            <wp:extent cx="7716520" cy="1120140"/>
            <wp:effectExtent l="0" t="0" r="0" b="0"/>
            <wp:wrapNone/>
            <wp:docPr id="1" name="Imagem 3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52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2296C5" w14:textId="77777777" w:rsidR="00DA336B" w:rsidRPr="007B4E4C" w:rsidRDefault="00DA336B">
      <w:pPr>
        <w:spacing w:line="276" w:lineRule="auto"/>
        <w:rPr>
          <w:rFonts w:asciiTheme="minorHAnsi" w:hAnsiTheme="minorHAnsi" w:cstheme="minorHAnsi"/>
          <w:b/>
          <w:sz w:val="28"/>
          <w:szCs w:val="20"/>
          <w:lang w:val="pt-BR"/>
        </w:rPr>
      </w:pPr>
    </w:p>
    <w:p w14:paraId="1CFF074B" w14:textId="77777777" w:rsidR="00DA336B" w:rsidRPr="007B4E4C" w:rsidRDefault="00000000" w:rsidP="007B4E4C">
      <w:pPr>
        <w:ind w:left="-567" w:right="-990"/>
        <w:jc w:val="both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 w:rsidRPr="007B4E4C">
        <w:rPr>
          <w:rStyle w:val="Forte"/>
          <w:rFonts w:asciiTheme="minorHAnsi" w:hAnsiTheme="minorHAnsi" w:cstheme="minorHAnsi"/>
          <w:i/>
          <w:iCs/>
          <w:sz w:val="36"/>
          <w:szCs w:val="36"/>
        </w:rPr>
        <w:t>Cirurgia de Transplante Renal: Desafios e Perspectivas Futuras na Melhoria dos Resultados dos Pacientes</w:t>
      </w:r>
    </w:p>
    <w:p w14:paraId="7EC7884E" w14:textId="77777777" w:rsidR="00DA336B" w:rsidRPr="007B4E4C" w:rsidRDefault="00000000" w:rsidP="007B4E4C">
      <w:pPr>
        <w:ind w:left="-567" w:right="-990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7B4E4C">
        <w:rPr>
          <w:rFonts w:asciiTheme="minorHAnsi" w:hAnsiTheme="minorHAnsi" w:cstheme="minorHAnsi"/>
          <w:i/>
          <w:iCs/>
          <w:sz w:val="28"/>
          <w:szCs w:val="28"/>
        </w:rPr>
        <w:t xml:space="preserve">Lourdes Luchini Roldi, Vívia Cristina Pires Martins, Nicole Almeida Ramos Jaegge, Letícia Azeredo Bittencourt Tavora e Brenda Vicente Helmer. </w:t>
      </w:r>
    </w:p>
    <w:p w14:paraId="47C52427" w14:textId="77777777" w:rsidR="00DA336B" w:rsidRPr="007B4E4C" w:rsidRDefault="00DA336B">
      <w:pPr>
        <w:pStyle w:val="Corpodetexto"/>
        <w:spacing w:before="7"/>
        <w:rPr>
          <w:rFonts w:asciiTheme="minorHAnsi" w:hAnsiTheme="minorHAnsi" w:cstheme="minorHAnsi"/>
          <w:b/>
          <w:bCs/>
          <w:sz w:val="28"/>
          <w:szCs w:val="28"/>
          <w:lang w:val="pt-BR"/>
        </w:rPr>
      </w:pPr>
    </w:p>
    <w:p w14:paraId="78509004" w14:textId="77777777" w:rsidR="00DA336B" w:rsidRPr="007B4E4C" w:rsidRDefault="00DA336B">
      <w:pPr>
        <w:pStyle w:val="Corpodetexto"/>
        <w:spacing w:before="7"/>
        <w:rPr>
          <w:rFonts w:asciiTheme="minorHAnsi" w:hAnsiTheme="minorHAnsi" w:cstheme="minorHAnsi"/>
          <w:sz w:val="26"/>
          <w:lang w:val="pt-BR"/>
        </w:rPr>
      </w:pPr>
    </w:p>
    <w:p w14:paraId="45B1E9A8" w14:textId="77777777" w:rsidR="00DA336B" w:rsidRPr="007B4E4C" w:rsidRDefault="00000000">
      <w:pPr>
        <w:pStyle w:val="Corpodetexto"/>
        <w:spacing w:before="59"/>
        <w:jc w:val="center"/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  <w:u w:val="single"/>
        </w:rPr>
      </w:pPr>
      <w:r w:rsidRPr="007B4E4C"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  <w:u w:val="single"/>
        </w:rPr>
        <w:t>REVISÃO DE LITERATURA</w:t>
      </w:r>
    </w:p>
    <w:p w14:paraId="555DA3C7" w14:textId="77777777" w:rsidR="00DA336B" w:rsidRPr="007B4E4C" w:rsidRDefault="00DA336B">
      <w:pPr>
        <w:pStyle w:val="Corpodetexto"/>
        <w:spacing w:before="59"/>
        <w:jc w:val="center"/>
        <w:rPr>
          <w:rFonts w:asciiTheme="minorHAnsi" w:hAnsiTheme="minorHAnsi" w:cstheme="minorHAnsi"/>
          <w:b/>
          <w:i/>
          <w:color w:val="A20000"/>
          <w:spacing w:val="-4"/>
          <w:sz w:val="28"/>
          <w:szCs w:val="22"/>
        </w:rPr>
      </w:pPr>
    </w:p>
    <w:p w14:paraId="0460E9A8" w14:textId="77777777" w:rsidR="00DA336B" w:rsidRPr="007B4E4C" w:rsidRDefault="00000000">
      <w:pPr>
        <w:spacing w:before="1"/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7B4E4C">
        <w:rPr>
          <w:rFonts w:asciiTheme="minorHAnsi" w:hAnsiTheme="minorHAnsi" w:cstheme="minorHAnsi"/>
          <w:b/>
          <w:bCs/>
          <w:sz w:val="24"/>
          <w:szCs w:val="24"/>
        </w:rPr>
        <w:t>RESUMO</w:t>
      </w:r>
    </w:p>
    <w:p w14:paraId="14F075C6" w14:textId="77777777" w:rsidR="00DA336B" w:rsidRPr="007B4E4C" w:rsidRDefault="00DA336B">
      <w:pPr>
        <w:spacing w:before="1"/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7E2F90E" w14:textId="77777777" w:rsidR="00DA336B" w:rsidRPr="007B4E4C" w:rsidRDefault="00000000">
      <w:pPr>
        <w:spacing w:line="360" w:lineRule="auto"/>
        <w:ind w:left="-426" w:right="-423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  <w:t>Explorando os desafios e perspectivas futuras na cirurgia de transplante de rim para a melhoria dos resultados do paciente, diversas abordagens cirúrgicas e terapêuticas são examinadas para enfrentar os obstáculos enfrentados nesse campo. Uma ênfase significativa é colocada na evolução das técnicas cirúrgicas e nas estratégias para minimizar a rejeição do órgão transplantado. Inicialmente, destaca-se a importância das estratégias imunossupressoras para mitigar a rejeição crônica, exigindo um equilíbrio cuidadoso para evitar complicações relacionadas à imunossupressão excessiva, como infecções e malignidades pós-transplante.</w:t>
      </w:r>
    </w:p>
    <w:p w14:paraId="09797CE9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  <w:t>Além disso, são exploradas abordagens cirúrgicas inovadoras, como o transplante renal robótico, que oferece vantagens potenciais, como incisões menores, menor perda de sangue e recuperação mais rápida. No entanto, a implementação dessa tecnologia enfrenta desafios técnicos e questões relacionadas à curva de aprendizado para cirurgiões, destacando a necessidade de uma abordagem multidisciplinar para superar esses obstáculos e maximizar os benefícios para os pacientes.</w:t>
      </w:r>
    </w:p>
    <w:p w14:paraId="14B99C90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  <w:t>Adicionalmente, a personalização do tratamento no transplante renal emerge como uma estratégia crucial para otimizar os resultados do paciente. Considerando fatores como compatibilidade imunológica e condições médicas individuais, uma abordagem individualizada pode melhorar significativamente os resultados e a qualidade de vida pós-transplante. Isso envolve não apenas a escolha do regime imunossupressor adequado, mas também adaptações cirúrgicas para garantir uma boa vascularização do enxerto e uma recuperação adequada do paciente.</w:t>
      </w:r>
    </w:p>
    <w:p w14:paraId="2FB7F058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  <w:t xml:space="preserve">Por fim, a perspectiva de transplantar rins com lesão renal aguda oferece oportunidades e desafios únicos na prática clínica. A seleção cuidadosa do doador e receptor, acompanhado de </w:t>
      </w: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lastRenderedPageBreak/>
        <w:t>técnicas cirúrgicas avançadas e terapias imunossupressoras específicas, são fundamentais para garantir resultados favoráveis a longo prazo para o receptor. Em conjunto, essas abordagens cirúrgicas e terapêuticas oferecem uma visão promissora para a melhoria contínua dos resultados do paciente no campo do transplante renal.</w:t>
      </w:r>
    </w:p>
    <w:p w14:paraId="3E8C2401" w14:textId="77777777" w:rsidR="00DA336B" w:rsidRPr="007B4E4C" w:rsidRDefault="00DA336B">
      <w:pPr>
        <w:rPr>
          <w:rFonts w:asciiTheme="minorHAnsi" w:hAnsiTheme="minorHAnsi" w:cstheme="minorHAnsi"/>
          <w:sz w:val="24"/>
          <w:szCs w:val="24"/>
        </w:rPr>
      </w:pPr>
    </w:p>
    <w:p w14:paraId="214E1182" w14:textId="77777777" w:rsidR="00DA336B" w:rsidRPr="007B4E4C" w:rsidRDefault="00DA336B">
      <w:pPr>
        <w:rPr>
          <w:rFonts w:asciiTheme="minorHAnsi" w:hAnsiTheme="minorHAnsi" w:cstheme="minorHAnsi"/>
          <w:sz w:val="24"/>
          <w:szCs w:val="24"/>
        </w:rPr>
      </w:pPr>
    </w:p>
    <w:p w14:paraId="4B026538" w14:textId="77777777" w:rsidR="00DA336B" w:rsidRPr="007B4E4C" w:rsidRDefault="00000000">
      <w:pPr>
        <w:spacing w:before="1"/>
        <w:ind w:left="102" w:right="835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hAnsiTheme="minorHAnsi" w:cstheme="minorHAnsi"/>
          <w:b/>
          <w:sz w:val="24"/>
          <w:szCs w:val="24"/>
        </w:rPr>
        <w:t>Palavras-chave:</w:t>
      </w:r>
      <w:r w:rsidRPr="007B4E4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B4E4C">
        <w:rPr>
          <w:rFonts w:asciiTheme="minorHAnsi" w:eastAsia="Cambria" w:hAnsiTheme="minorHAnsi" w:cstheme="minorHAnsi"/>
          <w:sz w:val="24"/>
          <w:szCs w:val="24"/>
          <w:lang w:val="pt-BR"/>
        </w:rPr>
        <w:t>Cirurgia; Transplante; Resultados do paciente.</w:t>
      </w:r>
    </w:p>
    <w:p w14:paraId="35F1E9A4" w14:textId="77777777" w:rsidR="00DA336B" w:rsidRPr="007B4E4C" w:rsidRDefault="00DA336B">
      <w:pPr>
        <w:spacing w:before="11"/>
        <w:rPr>
          <w:rFonts w:asciiTheme="minorHAnsi" w:hAnsiTheme="minorHAnsi" w:cstheme="minorHAnsi"/>
          <w:sz w:val="23"/>
          <w:szCs w:val="24"/>
        </w:rPr>
      </w:pPr>
    </w:p>
    <w:p w14:paraId="1C9CF952" w14:textId="77777777" w:rsidR="00DA336B" w:rsidRPr="007B4E4C" w:rsidRDefault="00DA336B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D156FDE" w14:textId="77777777" w:rsidR="00DA336B" w:rsidRPr="007B4E4C" w:rsidRDefault="00DA336B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A717083" w14:textId="77777777" w:rsidR="00DA336B" w:rsidRPr="007B4E4C" w:rsidRDefault="00DA336B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CF63BC3" w14:textId="79BFA814" w:rsidR="00DA336B" w:rsidRPr="007B4E4C" w:rsidRDefault="007B4E4C" w:rsidP="007B4E4C">
      <w:pPr>
        <w:ind w:left="102"/>
        <w:jc w:val="both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7B4E4C">
        <w:rPr>
          <w:rFonts w:asciiTheme="minorHAnsi" w:hAnsiTheme="minorHAnsi" w:cstheme="minorHAnsi"/>
          <w:b/>
          <w:bCs/>
          <w:sz w:val="36"/>
          <w:szCs w:val="36"/>
        </w:rPr>
        <w:t>Kidney Transplant Surgery: Challenges and Future Perspectives in Improving Patient Outcomes</w:t>
      </w:r>
    </w:p>
    <w:p w14:paraId="0D5F9071" w14:textId="77777777" w:rsidR="00DA336B" w:rsidRPr="007B4E4C" w:rsidRDefault="00DA336B">
      <w:pPr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6350868" w14:textId="77777777" w:rsidR="00DA336B" w:rsidRPr="007B4E4C" w:rsidRDefault="00000000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7B4E4C">
        <w:rPr>
          <w:rFonts w:asciiTheme="minorHAnsi" w:hAnsiTheme="minorHAnsi" w:cstheme="minorHAnsi"/>
          <w:b/>
          <w:bCs/>
          <w:sz w:val="24"/>
          <w:szCs w:val="24"/>
        </w:rPr>
        <w:t>ABSTRACT</w:t>
      </w:r>
    </w:p>
    <w:p w14:paraId="5B9050F3" w14:textId="77777777" w:rsidR="00DA336B" w:rsidRPr="007B4E4C" w:rsidRDefault="00DA336B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A7E6BF1" w14:textId="77777777" w:rsidR="00DA336B" w:rsidRPr="007B4E4C" w:rsidRDefault="00DA336B">
      <w:pPr>
        <w:ind w:left="10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EFFEB71" w14:textId="77777777" w:rsidR="00DA336B" w:rsidRPr="007B4E4C" w:rsidRDefault="00000000">
      <w:pPr>
        <w:spacing w:line="360" w:lineRule="au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Exploring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challenges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future perspectives in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surgery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for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enhancing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patient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outcomes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various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therapeutic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approaches are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examined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address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hurdles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encountered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in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field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Significant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emphasis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placed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evolution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techniques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strategies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minimize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organ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rejection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Initially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importance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immunosuppressive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strategies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mitigate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chronic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rejection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highlighted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necessitating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careful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balance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avoid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complications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related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excessive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immunosuppression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such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as post-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infections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malignancies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.</w:t>
      </w:r>
    </w:p>
    <w:p w14:paraId="6AF847A8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Furthermore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innovative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approaches are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explored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such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as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robotic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transplantation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offering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potential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advantages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like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smaller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incisions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reduced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blood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loss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faster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recovery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However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implementation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technology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faces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technical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challenges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issues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related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learning curve for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surgeons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underscoring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need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for a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multidisciplinary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approach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overcome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these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obstacles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maximize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benefits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for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patients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.</w:t>
      </w:r>
    </w:p>
    <w:p w14:paraId="51E1F0BD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ab/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Additionally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personalized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treatment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in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transplantation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emerges as a crucial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strategy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optimize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patient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outcomes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Considering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factors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such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as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immunological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compatibility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individual medical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conditions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individualized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approach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can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significantly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enhance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results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post-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quality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life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This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involves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not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only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selecting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appropriate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immunosuppressive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regimen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but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also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making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adaptations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ensure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good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graft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vascularization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adequate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patient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recovery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.</w:t>
      </w:r>
    </w:p>
    <w:p w14:paraId="63DD7479" w14:textId="77777777" w:rsidR="00DA336B" w:rsidRPr="007B4E4C" w:rsidRDefault="00000000">
      <w:pPr>
        <w:pStyle w:val="Corpodetexto"/>
        <w:spacing w:line="360" w:lineRule="au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lastRenderedPageBreak/>
        <w:tab/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Lastly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perspective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with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acute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injury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presents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unique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opportunities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challenges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in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clinical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practice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Careful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donor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recipient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selection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along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with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advanced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techniques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specific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immunosuppressive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therapies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are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essential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to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ensure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favorable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long-term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outcomes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for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recipient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.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Collectively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,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these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surgical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and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therapeutic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approaches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offer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a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promising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outlook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for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ongoing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improvement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patient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outcomes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in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the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field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of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kidney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transplantation</w:t>
      </w:r>
      <w:proofErr w:type="spellEnd"/>
      <w:r w:rsidRPr="007B4E4C">
        <w:rPr>
          <w:rFonts w:asciiTheme="minorHAnsi" w:eastAsia="Cambria" w:hAnsiTheme="minorHAnsi" w:cstheme="minorHAnsi"/>
          <w:bCs/>
          <w:sz w:val="24"/>
          <w:szCs w:val="24"/>
          <w:lang w:val="pt-BR"/>
        </w:rPr>
        <w:t>.</w:t>
      </w:r>
    </w:p>
    <w:p w14:paraId="41CA42CA" w14:textId="77777777" w:rsidR="00DA336B" w:rsidRPr="007B4E4C" w:rsidRDefault="00DA336B">
      <w:pPr>
        <w:pStyle w:val="Corpodetexto"/>
        <w:spacing w:line="360" w:lineRule="auto"/>
        <w:ind w:left="-426" w:right="-423"/>
        <w:jc w:val="both"/>
        <w:rPr>
          <w:rFonts w:asciiTheme="minorHAnsi" w:eastAsia="Cambria" w:hAnsiTheme="minorHAnsi" w:cstheme="minorHAnsi"/>
          <w:bCs/>
          <w:sz w:val="24"/>
          <w:szCs w:val="24"/>
          <w:lang w:val="pt-BR"/>
        </w:rPr>
      </w:pPr>
    </w:p>
    <w:p w14:paraId="07710A64" w14:textId="77777777" w:rsidR="00DA336B" w:rsidRPr="007B4E4C" w:rsidRDefault="00DA336B">
      <w:pPr>
        <w:rPr>
          <w:rFonts w:asciiTheme="minorHAnsi" w:hAnsiTheme="minorHAnsi" w:cstheme="minorHAnsi"/>
          <w:sz w:val="24"/>
          <w:szCs w:val="24"/>
        </w:rPr>
      </w:pPr>
    </w:p>
    <w:p w14:paraId="16A84AFD" w14:textId="77777777" w:rsidR="00DA336B" w:rsidRPr="007B4E4C" w:rsidRDefault="00000000">
      <w:pPr>
        <w:ind w:left="102"/>
        <w:jc w:val="both"/>
        <w:rPr>
          <w:rFonts w:asciiTheme="minorHAnsi" w:hAnsiTheme="minorHAnsi" w:cstheme="minorHAnsi"/>
          <w:sz w:val="24"/>
          <w:szCs w:val="24"/>
        </w:rPr>
      </w:pPr>
      <w:r w:rsidRPr="007B4E4C">
        <w:rPr>
          <w:rFonts w:asciiTheme="minorHAnsi" w:hAnsiTheme="minorHAnsi" w:cstheme="minorHAnsi"/>
          <w:b/>
          <w:sz w:val="24"/>
          <w:szCs w:val="24"/>
        </w:rPr>
        <w:t>Keywords:</w:t>
      </w:r>
      <w:r w:rsidRPr="007B4E4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proofErr w:type="spellStart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>Surgery</w:t>
      </w:r>
      <w:proofErr w:type="spellEnd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 xml:space="preserve">; </w:t>
      </w:r>
      <w:proofErr w:type="spellStart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>Transplant</w:t>
      </w:r>
      <w:proofErr w:type="spellEnd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 xml:space="preserve">; </w:t>
      </w:r>
      <w:proofErr w:type="spellStart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>Patient</w:t>
      </w:r>
      <w:proofErr w:type="spellEnd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 xml:space="preserve"> </w:t>
      </w:r>
      <w:proofErr w:type="spellStart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>outcomes</w:t>
      </w:r>
      <w:proofErr w:type="spellEnd"/>
      <w:r w:rsidRPr="007B4E4C">
        <w:rPr>
          <w:rFonts w:asciiTheme="minorHAnsi" w:hAnsiTheme="minorHAnsi" w:cstheme="minorHAnsi"/>
          <w:spacing w:val="-2"/>
          <w:sz w:val="24"/>
          <w:szCs w:val="24"/>
          <w:lang w:val="pt-BR"/>
        </w:rPr>
        <w:t>.</w:t>
      </w:r>
    </w:p>
    <w:p w14:paraId="51518947" w14:textId="77777777" w:rsidR="00DA336B" w:rsidRDefault="00DA336B">
      <w:pPr>
        <w:ind w:left="102"/>
        <w:jc w:val="both"/>
        <w:rPr>
          <w:sz w:val="24"/>
          <w:szCs w:val="24"/>
        </w:rPr>
      </w:pPr>
    </w:p>
    <w:p w14:paraId="400C3991" w14:textId="77777777" w:rsidR="00DA336B" w:rsidRDefault="00DA336B">
      <w:pPr>
        <w:rPr>
          <w:sz w:val="26"/>
          <w:szCs w:val="24"/>
        </w:rPr>
      </w:pPr>
    </w:p>
    <w:p w14:paraId="3009422C" w14:textId="77777777" w:rsidR="00DA336B" w:rsidRDefault="00DA336B">
      <w:pPr>
        <w:rPr>
          <w:sz w:val="26"/>
          <w:szCs w:val="24"/>
        </w:rPr>
      </w:pPr>
    </w:p>
    <w:p w14:paraId="6E3C6B4C" w14:textId="77777777" w:rsidR="00DA336B" w:rsidRDefault="00DA336B">
      <w:pPr>
        <w:rPr>
          <w:sz w:val="26"/>
          <w:szCs w:val="24"/>
        </w:rPr>
      </w:pPr>
    </w:p>
    <w:p w14:paraId="1EED303B" w14:textId="77777777" w:rsidR="00DA336B" w:rsidRDefault="00DA336B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0C601763" w14:textId="373FBFC8" w:rsidR="00DA336B" w:rsidRDefault="007B4E4C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noProof/>
        </w:rPr>
        <w:pict w14:anchorId="6513230C">
          <v:rect id="Text Box 5" o:spid="_x0000_s2050" style="position:absolute;margin-left:69pt;margin-top:15.7pt;width:464.5pt;height:64.8pt;z-index:55;visibility:visible;mso-wrap-style:square;mso-wrap-distance-left:0;mso-wrap-distance-top:0;mso-wrap-distance-right:1.8pt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" o:allowincell="f" filled="f" strokeweight=".18mm">
            <v:textbox inset="0,0,0,0">
              <w:txbxContent>
                <w:p w14:paraId="19A567A3" w14:textId="77777777" w:rsidR="00DA336B" w:rsidRDefault="00000000">
                  <w:pPr>
                    <w:pStyle w:val="Contedodoquadro"/>
                    <w:spacing w:before="15" w:line="228" w:lineRule="auto"/>
                    <w:ind w:left="99"/>
                    <w:rPr>
                      <w:rFonts w:ascii="Calibri" w:hAnsi="Calibri"/>
                      <w:bCs/>
                      <w:spacing w:val="-2"/>
                      <w:sz w:val="20"/>
                      <w:lang w:val="pt-BR"/>
                    </w:rPr>
                  </w:pPr>
                  <w:r>
                    <w:rPr>
                      <w:rFonts w:ascii="Calibri" w:hAnsi="Calibri"/>
                      <w:b/>
                      <w:spacing w:val="-2"/>
                      <w:sz w:val="20"/>
                    </w:rPr>
                    <w:t xml:space="preserve">Instituição afiliada – </w:t>
                  </w:r>
                  <w:r>
                    <w:rPr>
                      <w:rFonts w:ascii="Calibri" w:hAnsi="Calibri"/>
                      <w:bCs/>
                      <w:spacing w:val="-2"/>
                      <w:sz w:val="20"/>
                    </w:rPr>
                    <w:t>Colocar aqui onde estuda ou onde trabalha.</w:t>
                  </w:r>
                </w:p>
                <w:p w14:paraId="6CC83BA2" w14:textId="77777777" w:rsidR="007B4E4C" w:rsidRPr="007B4E4C" w:rsidRDefault="007B4E4C" w:rsidP="007B4E4C">
                  <w:pPr>
                    <w:suppressAutoHyphens w:val="0"/>
                    <w:autoSpaceDN w:val="0"/>
                    <w:spacing w:before="15" w:line="225" w:lineRule="auto"/>
                    <w:ind w:left="98" w:firstLine="197"/>
                    <w:rPr>
                      <w:lang w:eastAsia="pt-BR"/>
                    </w:rPr>
                  </w:pPr>
                  <w:r w:rsidRPr="007B4E4C">
                    <w:rPr>
                      <w:rFonts w:ascii="Calibri" w:eastAsia="Calibri" w:hAnsi="Calibri" w:cs="Calibri"/>
                      <w:b/>
                      <w:i/>
                      <w:color w:val="000000"/>
                      <w:sz w:val="20"/>
                      <w:lang w:eastAsia="pt-BR"/>
                    </w:rPr>
                    <w:t xml:space="preserve">Dados da publicação:  </w:t>
                  </w:r>
                  <w:r w:rsidRPr="007B4E4C">
                    <w:rPr>
                      <w:rFonts w:ascii="Calibri" w:eastAsia="Calibri" w:hAnsi="Calibri" w:cs="Calibri"/>
                      <w:sz w:val="20"/>
                      <w:lang w:eastAsia="pt-BR"/>
                    </w:rPr>
                    <w:t>Artigo publicado em  Março de 2024</w:t>
                  </w:r>
                </w:p>
                <w:p w14:paraId="58A49575" w14:textId="44229D91" w:rsidR="007B4E4C" w:rsidRPr="007B4E4C" w:rsidRDefault="007B4E4C" w:rsidP="007B4E4C">
                  <w:pPr>
                    <w:suppressAutoHyphens w:val="0"/>
                    <w:autoSpaceDN w:val="0"/>
                    <w:spacing w:before="25"/>
                    <w:ind w:left="98" w:firstLine="197"/>
                    <w:rPr>
                      <w:lang w:eastAsia="pt-BR"/>
                    </w:rPr>
                  </w:pPr>
                  <w:r w:rsidRPr="007B4E4C">
                    <w:rPr>
                      <w:rFonts w:ascii="Calibri" w:eastAsia="Calibri" w:hAnsi="Calibri" w:cs="Calibri"/>
                      <w:b/>
                      <w:color w:val="000000"/>
                      <w:sz w:val="20"/>
                      <w:lang w:eastAsia="pt-BR"/>
                    </w:rPr>
                    <w:t>DOI</w:t>
                  </w:r>
                  <w:r w:rsidRPr="007B4E4C">
                    <w:rPr>
                      <w:rFonts w:ascii="Calibri" w:eastAsia="Calibri" w:hAnsi="Calibri" w:cs="Calibri"/>
                      <w:color w:val="000000"/>
                      <w:sz w:val="20"/>
                      <w:lang w:eastAsia="pt-BR"/>
                    </w:rPr>
                    <w:t xml:space="preserve">: </w:t>
                  </w:r>
                  <w:hyperlink r:id="rId9" w:history="1">
                    <w:r w:rsidR="00B11F79" w:rsidRPr="007B4E4C">
                      <w:rPr>
                        <w:rStyle w:val="Hyperlink"/>
                        <w:rFonts w:ascii="Calibri" w:eastAsia="Calibri" w:hAnsi="Calibri" w:cs="Calibri"/>
                        <w:sz w:val="20"/>
                        <w:lang w:eastAsia="pt-BR"/>
                      </w:rPr>
                      <w:t>https://doi.org/10.36557/pbpc.v3i1.</w:t>
                    </w:r>
                    <w:r w:rsidR="00B11F79" w:rsidRPr="001E2912">
                      <w:rPr>
                        <w:rStyle w:val="Hyperlink"/>
                        <w:rFonts w:ascii="Calibri" w:eastAsia="Calibri" w:hAnsi="Calibri" w:cs="Calibri"/>
                        <w:sz w:val="20"/>
                        <w:lang w:eastAsia="pt-BR"/>
                      </w:rPr>
                      <w:t>8</w:t>
                    </w:r>
                  </w:hyperlink>
                </w:p>
                <w:p w14:paraId="35792C1C" w14:textId="06808A00" w:rsidR="00DA336B" w:rsidRDefault="00000000">
                  <w:pPr>
                    <w:pStyle w:val="Contedodoquadro"/>
                    <w:spacing w:before="26"/>
                    <w:ind w:left="99"/>
                    <w:rPr>
                      <w:rFonts w:ascii="Calibri" w:hAnsi="Calibri"/>
                      <w:b/>
                      <w:bCs/>
                      <w:i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Autor</w:t>
                  </w:r>
                  <w:r>
                    <w:rPr>
                      <w:rFonts w:ascii="Calibri" w:hAnsi="Calibri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correspondente</w:t>
                  </w:r>
                  <w:r w:rsidR="007B4E4C">
                    <w:rPr>
                      <w:rFonts w:ascii="Calibri" w:hAnsi="Calibri"/>
                      <w:bCs/>
                      <w:i/>
                      <w:sz w:val="20"/>
                    </w:rPr>
                    <w:t>:</w:t>
                  </w:r>
                  <w:r w:rsidR="007B4E4C" w:rsidRPr="007B4E4C">
                    <w:t xml:space="preserve"> </w:t>
                  </w:r>
                  <w:r w:rsidR="007B4E4C" w:rsidRPr="007B4E4C">
                    <w:rPr>
                      <w:rFonts w:ascii="Calibri" w:hAnsi="Calibri"/>
                      <w:bCs/>
                      <w:i/>
                      <w:sz w:val="20"/>
                    </w:rPr>
                    <w:t>Lourdes Luchini Roldi</w:t>
                  </w:r>
                  <w:r w:rsidR="007B4E4C">
                    <w:rPr>
                      <w:rFonts w:ascii="Calibri" w:hAnsi="Calibri"/>
                      <w:bCs/>
                      <w:i/>
                      <w:sz w:val="20"/>
                    </w:rPr>
                    <w:t xml:space="preserve"> - </w:t>
                  </w:r>
                  <w:hyperlink r:id="rId10" w:history="1">
                    <w:r w:rsidR="007B4E4C" w:rsidRPr="001E2912">
                      <w:rPr>
                        <w:rStyle w:val="Hyperlink"/>
                        <w:rFonts w:ascii="Calibri" w:hAnsi="Calibri"/>
                        <w:bCs/>
                        <w:i/>
                        <w:sz w:val="20"/>
                      </w:rPr>
                      <w:t>Lourdesroldi@hotmail.com</w:t>
                    </w:r>
                  </w:hyperlink>
                  <w:r w:rsidR="007B4E4C">
                    <w:rPr>
                      <w:rFonts w:ascii="Calibri" w:hAnsi="Calibri"/>
                      <w:bCs/>
                      <w:i/>
                      <w:sz w:val="20"/>
                    </w:rPr>
                    <w:t xml:space="preserve"> </w:t>
                  </w:r>
                </w:p>
                <w:p w14:paraId="049DF5CF" w14:textId="77777777" w:rsidR="00DA336B" w:rsidRDefault="00DA336B">
                  <w:pPr>
                    <w:pStyle w:val="Contedodoquadro"/>
                    <w:spacing w:before="4" w:line="257" w:lineRule="exact"/>
                    <w:ind w:left="92"/>
                    <w:rPr>
                      <w:rFonts w:ascii="Calibri" w:hAnsi="Calibri"/>
                    </w:rPr>
                  </w:pPr>
                </w:p>
              </w:txbxContent>
            </v:textbox>
            <w10:wrap type="topAndBottom" anchorx="page"/>
          </v:rect>
        </w:pict>
      </w:r>
    </w:p>
    <w:p w14:paraId="5D6DDD2C" w14:textId="77777777" w:rsidR="00DA336B" w:rsidRDefault="00000000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 </w:t>
      </w:r>
    </w:p>
    <w:p w14:paraId="5ACAC144" w14:textId="77777777" w:rsidR="00DA336B" w:rsidRDefault="00DA336B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2F653734" w14:textId="77777777" w:rsidR="00DA336B" w:rsidRDefault="00000000">
      <w:pPr>
        <w:rPr>
          <w:sz w:val="26"/>
          <w:szCs w:val="24"/>
        </w:rPr>
      </w:pPr>
      <w:r>
        <w:rPr>
          <w:noProof/>
        </w:rPr>
        <w:drawing>
          <wp:anchor distT="0" distB="0" distL="0" distR="0" simplePos="0" relativeHeight="57" behindDoc="0" locked="0" layoutInCell="0" allowOverlap="1" wp14:anchorId="01D9F96E" wp14:editId="2242A08B">
            <wp:simplePos x="0" y="0"/>
            <wp:positionH relativeFrom="margin">
              <wp:posOffset>1722120</wp:posOffset>
            </wp:positionH>
            <wp:positionV relativeFrom="paragraph">
              <wp:posOffset>318770</wp:posOffset>
            </wp:positionV>
            <wp:extent cx="842645" cy="29019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8"/>
          <w:szCs w:val="28"/>
          <w:lang w:val="en-US"/>
        </w:rPr>
        <w:t>This</w:t>
      </w:r>
      <w:r>
        <w:rPr>
          <w:rFonts w:asciiTheme="minorHAnsi" w:hAnsiTheme="minorHAnsi" w:cstheme="minorHAnsi"/>
          <w:spacing w:val="11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work</w:t>
      </w:r>
      <w:r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is</w:t>
      </w:r>
      <w:r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licensed</w:t>
      </w:r>
      <w:r>
        <w:rPr>
          <w:rFonts w:asciiTheme="minorHAnsi" w:hAnsiTheme="minorHAnsi" w:cstheme="minorHAnsi"/>
          <w:spacing w:val="19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under</w:t>
      </w:r>
      <w:r>
        <w:rPr>
          <w:rFonts w:asciiTheme="minorHAnsi" w:hAnsiTheme="minorHAnsi" w:cstheme="minorHAnsi"/>
          <w:spacing w:val="16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a</w:t>
      </w:r>
      <w:r>
        <w:rPr>
          <w:rFonts w:asciiTheme="minorHAnsi" w:hAnsiTheme="minorHAnsi" w:cstheme="minorHAnsi"/>
          <w:spacing w:val="34"/>
          <w:sz w:val="28"/>
          <w:szCs w:val="28"/>
          <w:lang w:val="en-US"/>
        </w:rPr>
        <w:t xml:space="preserve"> </w:t>
      </w:r>
      <w:hyperlink r:id="rId12">
        <w:r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Creative</w:t>
        </w:r>
        <w:r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Commons</w:t>
        </w:r>
        <w:r>
          <w:rPr>
            <w:rFonts w:asciiTheme="minorHAnsi" w:hAnsiTheme="minorHAnsi" w:cstheme="minorHAns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Attribution</w:t>
        </w:r>
        <w:r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4.0</w:t>
        </w:r>
        <w:r>
          <w:rPr>
            <w:rFonts w:asciiTheme="minorHAnsi" w:hAnsiTheme="minorHAnsi" w:cstheme="minorHAns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International</w:t>
        </w:r>
      </w:hyperlink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3">
        <w:r>
          <w:rPr>
            <w:rFonts w:asciiTheme="minorHAnsi" w:hAnsiTheme="minorHAnsi" w:cstheme="minorHAnsi"/>
            <w:color w:val="0460C1"/>
            <w:w w:val="105"/>
            <w:sz w:val="28"/>
            <w:szCs w:val="28"/>
            <w:u w:val="single" w:color="0460C1"/>
            <w:lang w:val="en-US"/>
          </w:rPr>
          <w:t>License</w:t>
        </w:r>
        <w:r>
          <w:rPr>
            <w:rFonts w:asciiTheme="minorHAnsi" w:hAnsiTheme="minorHAnsi" w:cstheme="minorHAnsi"/>
            <w:w w:val="105"/>
            <w:sz w:val="28"/>
            <w:szCs w:val="28"/>
            <w:lang w:val="en-US"/>
          </w:rPr>
          <w:t>.</w:t>
        </w:r>
      </w:hyperlink>
    </w:p>
    <w:p w14:paraId="59039623" w14:textId="77777777" w:rsidR="00DA336B" w:rsidRDefault="00DA336B">
      <w:pPr>
        <w:rPr>
          <w:sz w:val="26"/>
          <w:szCs w:val="24"/>
        </w:rPr>
      </w:pPr>
    </w:p>
    <w:p w14:paraId="79A3AB28" w14:textId="77777777" w:rsidR="00DA336B" w:rsidRDefault="00DA336B">
      <w:pPr>
        <w:rPr>
          <w:sz w:val="26"/>
          <w:szCs w:val="24"/>
        </w:rPr>
      </w:pPr>
    </w:p>
    <w:p w14:paraId="16EA13B2" w14:textId="77777777" w:rsidR="00DA336B" w:rsidRDefault="00DA336B">
      <w:pPr>
        <w:rPr>
          <w:sz w:val="26"/>
          <w:szCs w:val="24"/>
        </w:rPr>
      </w:pPr>
    </w:p>
    <w:p w14:paraId="2D025860" w14:textId="77777777" w:rsidR="00DA336B" w:rsidRDefault="00DA336B">
      <w:pPr>
        <w:rPr>
          <w:sz w:val="26"/>
          <w:szCs w:val="24"/>
        </w:rPr>
      </w:pPr>
    </w:p>
    <w:p w14:paraId="4E052401" w14:textId="77777777" w:rsidR="00DA336B" w:rsidRDefault="00DA336B">
      <w:pPr>
        <w:rPr>
          <w:sz w:val="26"/>
          <w:szCs w:val="24"/>
        </w:rPr>
      </w:pPr>
    </w:p>
    <w:p w14:paraId="516A9847" w14:textId="77777777" w:rsidR="00B11F79" w:rsidRDefault="00B11F79">
      <w:pPr>
        <w:rPr>
          <w:sz w:val="26"/>
          <w:szCs w:val="24"/>
        </w:rPr>
      </w:pPr>
    </w:p>
    <w:p w14:paraId="75028695" w14:textId="77777777" w:rsidR="00B11F79" w:rsidRDefault="00B11F79">
      <w:pPr>
        <w:rPr>
          <w:sz w:val="26"/>
          <w:szCs w:val="24"/>
        </w:rPr>
      </w:pPr>
    </w:p>
    <w:p w14:paraId="6A61BED2" w14:textId="77777777" w:rsidR="00B11F79" w:rsidRDefault="00B11F79">
      <w:pPr>
        <w:rPr>
          <w:sz w:val="26"/>
          <w:szCs w:val="24"/>
        </w:rPr>
      </w:pPr>
    </w:p>
    <w:p w14:paraId="05694178" w14:textId="77777777" w:rsidR="00B11F79" w:rsidRDefault="00B11F79">
      <w:pPr>
        <w:rPr>
          <w:sz w:val="26"/>
          <w:szCs w:val="24"/>
        </w:rPr>
      </w:pPr>
    </w:p>
    <w:p w14:paraId="74CAB77D" w14:textId="77777777" w:rsidR="00B11F79" w:rsidRDefault="00B11F79">
      <w:pPr>
        <w:rPr>
          <w:sz w:val="26"/>
          <w:szCs w:val="24"/>
        </w:rPr>
      </w:pPr>
    </w:p>
    <w:p w14:paraId="0CCF6388" w14:textId="77777777" w:rsidR="00B11F79" w:rsidRDefault="00B11F79">
      <w:pPr>
        <w:rPr>
          <w:sz w:val="26"/>
          <w:szCs w:val="24"/>
        </w:rPr>
      </w:pPr>
    </w:p>
    <w:p w14:paraId="6907F866" w14:textId="77777777" w:rsidR="00B11F79" w:rsidRDefault="00B11F79">
      <w:pPr>
        <w:rPr>
          <w:sz w:val="26"/>
          <w:szCs w:val="24"/>
        </w:rPr>
      </w:pPr>
    </w:p>
    <w:p w14:paraId="05203A19" w14:textId="77777777" w:rsidR="00B11F79" w:rsidRDefault="00B11F79">
      <w:pPr>
        <w:rPr>
          <w:sz w:val="26"/>
          <w:szCs w:val="24"/>
        </w:rPr>
      </w:pPr>
    </w:p>
    <w:p w14:paraId="76BD03EA" w14:textId="77777777" w:rsidR="00B11F79" w:rsidRDefault="00B11F79">
      <w:pPr>
        <w:rPr>
          <w:sz w:val="26"/>
          <w:szCs w:val="24"/>
        </w:rPr>
      </w:pPr>
    </w:p>
    <w:p w14:paraId="1DF210EC" w14:textId="77777777" w:rsidR="00B11F79" w:rsidRDefault="00B11F79">
      <w:pPr>
        <w:rPr>
          <w:sz w:val="26"/>
          <w:szCs w:val="24"/>
        </w:rPr>
      </w:pPr>
    </w:p>
    <w:p w14:paraId="49202D12" w14:textId="77777777" w:rsidR="00B11F79" w:rsidRDefault="00B11F79">
      <w:pPr>
        <w:rPr>
          <w:sz w:val="26"/>
          <w:szCs w:val="24"/>
        </w:rPr>
      </w:pPr>
    </w:p>
    <w:p w14:paraId="36431EFE" w14:textId="77777777" w:rsidR="00DA336B" w:rsidRDefault="00DA336B">
      <w:pPr>
        <w:rPr>
          <w:sz w:val="26"/>
          <w:szCs w:val="24"/>
        </w:rPr>
      </w:pPr>
    </w:p>
    <w:p w14:paraId="4808CDF0" w14:textId="77777777" w:rsidR="00DA336B" w:rsidRDefault="00DA336B">
      <w:pPr>
        <w:rPr>
          <w:sz w:val="26"/>
          <w:szCs w:val="24"/>
        </w:rPr>
      </w:pPr>
    </w:p>
    <w:p w14:paraId="14D15DF6" w14:textId="77777777" w:rsidR="00DA336B" w:rsidRDefault="00000000">
      <w:pPr>
        <w:numPr>
          <w:ilvl w:val="0"/>
          <w:numId w:val="1"/>
        </w:numPr>
        <w:tabs>
          <w:tab w:val="left" w:pos="142"/>
        </w:tabs>
        <w:spacing w:before="231"/>
        <w:ind w:left="142" w:firstLine="2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INTRODUÇÃO</w:t>
      </w:r>
    </w:p>
    <w:p w14:paraId="3F0E5DD1" w14:textId="77777777" w:rsidR="00DA336B" w:rsidRDefault="00DA336B">
      <w:pPr>
        <w:tabs>
          <w:tab w:val="left" w:pos="142"/>
        </w:tabs>
        <w:spacing w:before="11"/>
        <w:rPr>
          <w:sz w:val="35"/>
          <w:szCs w:val="24"/>
        </w:rPr>
      </w:pPr>
    </w:p>
    <w:p w14:paraId="2531DE4A" w14:textId="77777777" w:rsidR="00DA336B" w:rsidRDefault="00000000">
      <w:pPr>
        <w:tabs>
          <w:tab w:val="left" w:pos="558"/>
        </w:tabs>
        <w:spacing w:before="47" w:line="360" w:lineRule="auto"/>
        <w:jc w:val="both"/>
      </w:pPr>
      <w:r>
        <w:rPr>
          <w:rFonts w:ascii="Arial" w:eastAsia="Cambria" w:hAnsi="Arial" w:cstheme="minorHAnsi"/>
          <w:bCs/>
          <w:sz w:val="24"/>
          <w:szCs w:val="24"/>
        </w:rPr>
        <w:t>A cirurgia de transplante renal representa um campo em constante evolução, impulsionado pela necessidade de enfrentar desafios complexos e melhorar os resultados para os pacientes. Nesse contexto, diversos pesquisadores têm se dedicado a explorar diferentes aspectos desse procedimento, desde a análise retrospectiva das perspectivas passadas até a investigação das inovações futuras. Estudos como os conduzidos por Punukollu et al,. (2023) e Avilez et al,. (2024) trazem à tona análises detalhadas dos fatores que influenciam o sucesso do transplante renal, oferecendo insights valiosos sobre as complexidades envolvidas nesse processo.</w:t>
      </w:r>
    </w:p>
    <w:p w14:paraId="05297BAD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jc w:val="both"/>
        <w:rPr>
          <w:rFonts w:ascii="Arial" w:hAnsi="Arial"/>
        </w:rPr>
      </w:pPr>
      <w:r>
        <w:rPr>
          <w:rFonts w:ascii="Arial" w:eastAsia="Cambria" w:hAnsi="Arial" w:cstheme="minorHAnsi"/>
          <w:bCs/>
          <w:sz w:val="24"/>
          <w:szCs w:val="24"/>
        </w:rPr>
        <w:tab/>
        <w:t>Além disso, autores como Noble et al,. (2019) e Fonseka (2021) contribuem para o entendimento dos desafios imunológicos e terapêuticos associados ao transplante de rins marginais e à evolução das técnicas robóticas nessa área. Essas investigações fornecem uma base sólida para a compreensão dos obstáculos enfrentados pela comunidade médica e abrem caminho para possíveis avanços que podem revolucionar a prática do transplante renal.</w:t>
      </w:r>
    </w:p>
    <w:p w14:paraId="237A5791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jc w:val="both"/>
        <w:rPr>
          <w:rFonts w:ascii="Arial" w:hAnsi="Arial"/>
        </w:rPr>
      </w:pPr>
      <w:r>
        <w:rPr>
          <w:rFonts w:ascii="Arial" w:eastAsia="Cambria" w:hAnsi="Arial" w:cstheme="minorHAnsi"/>
          <w:bCs/>
          <w:sz w:val="24"/>
          <w:szCs w:val="24"/>
        </w:rPr>
        <w:tab/>
        <w:t>Além dos desafios específicos enfrentados na cirurgia de transplante renal, é fundamental reconhecer o papel crescente das abordagens interdisciplinares e da colaboração entre diferentes áreas da medicina. A complexidade dos casos de transplante renal muitas vezes requer a expertise de uma equipe multidisciplinar, incluindo cirurgiões, nefrologistas, imunologistas, e outros profissionais de saúde. Estudos como os mencionados anteriormente não apenas contribuem para a compreensão das questões cirúrgicas e imunológicas, mas também destacam a importância da coordenação entre diversas especialidades no cuidado integral ao paciente transplantado renal. Essa abordagem colaborativa não apenas otimiza os resultados clínicos, mas também promove uma abordagem mais holística e centrada no paciente, melhorando sua qualidade de vida pós-transplante (Vincenzo et al., 2022).</w:t>
      </w:r>
    </w:p>
    <w:p w14:paraId="277E269A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jc w:val="both"/>
        <w:rPr>
          <w:rFonts w:eastAsia="Cambria" w:cstheme="minorHAnsi"/>
          <w:bCs/>
          <w:sz w:val="24"/>
          <w:szCs w:val="24"/>
        </w:rPr>
      </w:pPr>
      <w:r>
        <w:rPr>
          <w:rFonts w:ascii="Arial" w:eastAsia="Cambria" w:hAnsi="Arial" w:cstheme="minorHAnsi"/>
          <w:bCs/>
          <w:sz w:val="24"/>
        </w:rPr>
        <w:tab/>
        <w:t xml:space="preserve">Ao reunir essas perspectivas diversas, este artigo busca oferecer uma visão abrangente e atualizada sobre os desafios e perspectivas futuras na cirurgia de transplante renal, destacando a importância contínua da pesquisa e </w:t>
      </w:r>
      <w:r>
        <w:rPr>
          <w:rFonts w:ascii="Arial" w:eastAsia="Cambria" w:hAnsi="Arial" w:cstheme="minorHAnsi"/>
          <w:bCs/>
          <w:sz w:val="24"/>
        </w:rPr>
        <w:lastRenderedPageBreak/>
        <w:t xml:space="preserve">da inovação nesse campo crítico da medicina. Compreender o panorama atual e as direções potenciais para o desenvolvimento futuro do transplante renal é essencial para garantir melhores resultados para os pacientes e avanços significativos na prática clínica. </w:t>
      </w:r>
    </w:p>
    <w:p w14:paraId="2D9B9C04" w14:textId="77777777" w:rsidR="00DA336B" w:rsidRDefault="00DA336B">
      <w:pPr>
        <w:pStyle w:val="Corpodetexto"/>
        <w:tabs>
          <w:tab w:val="left" w:pos="558"/>
        </w:tabs>
        <w:spacing w:before="47" w:line="360" w:lineRule="auto"/>
        <w:jc w:val="both"/>
        <w:rPr>
          <w:rFonts w:eastAsia="Cambria" w:cstheme="minorHAnsi"/>
          <w:bCs/>
          <w:sz w:val="24"/>
          <w:szCs w:val="24"/>
        </w:rPr>
      </w:pPr>
    </w:p>
    <w:p w14:paraId="45BD1687" w14:textId="77777777" w:rsidR="00DA336B" w:rsidRDefault="00DA336B">
      <w:pPr>
        <w:pStyle w:val="Corpodetexto"/>
        <w:tabs>
          <w:tab w:val="left" w:pos="558"/>
        </w:tabs>
        <w:spacing w:before="47" w:line="360" w:lineRule="auto"/>
        <w:jc w:val="both"/>
        <w:rPr>
          <w:rFonts w:eastAsia="Cambria" w:cstheme="minorHAnsi"/>
          <w:bCs/>
          <w:sz w:val="24"/>
          <w:szCs w:val="24"/>
        </w:rPr>
      </w:pPr>
    </w:p>
    <w:p w14:paraId="0216010E" w14:textId="77777777" w:rsidR="00DA336B" w:rsidRDefault="00000000">
      <w:pPr>
        <w:numPr>
          <w:ilvl w:val="0"/>
          <w:numId w:val="1"/>
        </w:numPr>
        <w:tabs>
          <w:tab w:val="left" w:pos="142"/>
        </w:tabs>
        <w:ind w:left="142" w:firstLine="2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METODOLOGIA</w:t>
      </w:r>
    </w:p>
    <w:p w14:paraId="2133188E" w14:textId="77777777" w:rsidR="00DA336B" w:rsidRDefault="00DA336B">
      <w:pPr>
        <w:tabs>
          <w:tab w:val="left" w:pos="142"/>
        </w:tabs>
        <w:spacing w:before="7"/>
        <w:ind w:left="142" w:firstLine="2"/>
        <w:rPr>
          <w:sz w:val="35"/>
          <w:szCs w:val="24"/>
        </w:rPr>
      </w:pPr>
    </w:p>
    <w:p w14:paraId="4041C858" w14:textId="77777777" w:rsidR="00DA336B" w:rsidRDefault="00000000">
      <w:pPr>
        <w:tabs>
          <w:tab w:val="left" w:pos="558"/>
        </w:tabs>
        <w:spacing w:before="47" w:line="360" w:lineRule="auto"/>
        <w:jc w:val="both"/>
      </w:pPr>
      <w:r>
        <w:rPr>
          <w:rFonts w:ascii="Arial" w:hAnsi="Arial"/>
          <w:sz w:val="24"/>
          <w:szCs w:val="24"/>
        </w:rPr>
        <w:t>A metodologia empregada para a elaboração deste artigo de revisão de literatura baseou-se em uma investigação exclusiva de estudos publicados nos últimos cinco anos, abrangendo o período de 2019 a 2024. A pesquisa foi conduzida em duas plataformas amplamente reconhecidas na esfera acadêmica: Scopus e PubMed. Foram selecionadas palavras-chave específicas, tais como "Cirurgia", "Transplante" e "Resultados do paciente", com o intuito de englobar os estudos relevantes sobre o tema.</w:t>
      </w:r>
    </w:p>
    <w:p w14:paraId="36AFB0C2" w14:textId="77777777" w:rsidR="00DA336B" w:rsidRDefault="00000000">
      <w:pPr>
        <w:tabs>
          <w:tab w:val="left" w:pos="558"/>
        </w:tabs>
        <w:spacing w:before="47" w:line="360" w:lineRule="auto"/>
        <w:jc w:val="both"/>
      </w:pPr>
      <w:r>
        <w:rPr>
          <w:rFonts w:ascii="Arial" w:hAnsi="Arial"/>
          <w:sz w:val="24"/>
          <w:szCs w:val="24"/>
        </w:rPr>
        <w:tab/>
        <w:t>Durante a seleção dos artigos, o enfoque principal foi dado à inclusão de trabalhos completos em inglês, categorizados como Ensaio Clínico, Metanálise, Teste Controlado e Aleatório, e Análise. Tal abordagem foi adotada para assegurar a qualidade e a pertinência das informações obtidas, com o propósito de desenvolver uma revisão abrangente e atualizada sobre a inter-relação entre cirurgia, transplantes e os desfechos para os pacientes.</w:t>
      </w:r>
    </w:p>
    <w:p w14:paraId="0D1CE5AF" w14:textId="77777777" w:rsidR="00DA336B" w:rsidRDefault="00000000">
      <w:pPr>
        <w:tabs>
          <w:tab w:val="left" w:pos="558"/>
        </w:tabs>
        <w:spacing w:before="47" w:line="360" w:lineRule="auto"/>
        <w:jc w:val="both"/>
      </w:pPr>
      <w:r>
        <w:rPr>
          <w:rFonts w:ascii="Arial" w:hAnsi="Arial"/>
          <w:sz w:val="24"/>
          <w:szCs w:val="24"/>
        </w:rPr>
        <w:tab/>
        <w:t>O processo de seleção dos artigos seguiu uma metodologia sistemática e criteriosa. Inicialmente, os estudos foram selecionados com base na análise dos títulos, priorizando aqueles que estavam diretamente relacionados ao escopo da pesquisa. Em seguida, os resumos foram submetidos a uma triagem mais detalhada, levando em consideração a relevância e a contribuição dos estudos para o tema em análise. Por fim, os artigos selecionados foram submetidos a uma análise completa, assegurando a inclusão somente daqueles que apresentavam informações substanciais e pertinentes à revisão.</w:t>
      </w:r>
    </w:p>
    <w:p w14:paraId="28A430EF" w14:textId="77777777" w:rsidR="00DA336B" w:rsidRDefault="00000000">
      <w:pPr>
        <w:tabs>
          <w:tab w:val="left" w:pos="558"/>
        </w:tabs>
        <w:spacing w:before="47" w:line="360" w:lineRule="auto"/>
        <w:jc w:val="both"/>
      </w:pPr>
      <w:r>
        <w:rPr>
          <w:rFonts w:ascii="Arial" w:hAnsi="Arial"/>
          <w:sz w:val="24"/>
        </w:rPr>
        <w:tab/>
        <w:t xml:space="preserve">A estratégia adotada em etapas para a seleção dos artigos, aliada aos critérios de inclusão bem definidos, possibilitou uma abordagem rigorosa na busca e seleção dos estudos relevantes. Tal procedimento garantiu a qualidade e a confiabilidade da revisão, proporcionando uma análise aprofundada da </w:t>
      </w:r>
      <w:r>
        <w:rPr>
          <w:rFonts w:ascii="Arial" w:hAnsi="Arial"/>
          <w:sz w:val="24"/>
        </w:rPr>
        <w:lastRenderedPageBreak/>
        <w:t>relação entre cirurgia, transplantes e os desfechos para os pacientes. O objetivo deste estudo é contribuir para uma compreensão mais abrangente dos fatores de risco e do impacto das cirurgias e transplantes na recuperação dos pacientes.</w:t>
      </w:r>
    </w:p>
    <w:p w14:paraId="3DF609CE" w14:textId="77777777" w:rsidR="00DA336B" w:rsidRDefault="00DA336B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</w:rPr>
      </w:pPr>
    </w:p>
    <w:p w14:paraId="22E2FA88" w14:textId="77777777" w:rsidR="00DA336B" w:rsidRDefault="00000000">
      <w:pPr>
        <w:numPr>
          <w:ilvl w:val="0"/>
          <w:numId w:val="1"/>
        </w:numPr>
        <w:tabs>
          <w:tab w:val="left" w:pos="142"/>
        </w:tabs>
        <w:ind w:left="142" w:firstLine="2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RESULTADOS e DISCUSSÃO</w:t>
      </w:r>
    </w:p>
    <w:p w14:paraId="78B1ECF3" w14:textId="77777777" w:rsidR="00DA336B" w:rsidRDefault="00DA336B">
      <w:pPr>
        <w:tabs>
          <w:tab w:val="left" w:pos="142"/>
        </w:tabs>
        <w:spacing w:before="6"/>
        <w:ind w:left="142" w:firstLine="2"/>
        <w:rPr>
          <w:sz w:val="35"/>
          <w:szCs w:val="24"/>
        </w:rPr>
      </w:pPr>
    </w:p>
    <w:p w14:paraId="5CDC134C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cirurgia de transplante de rim é um procedimento complexo que enfrenta desafios significativos, especialmente no que diz respeito à rejeição crônica do órgão transplantado. Conforme discutido por Lai, Xingqiang et al. (2021) em seu estudo sobre o tema, a rejeição crônica representa uma das principais preocupações na gestão pós-transplante, exigindo estratégias imunossupressoras eficazes e vigilância contínua para melhorar os resultados do paciente. Esta complicação é multifacetada, resultando de interações complexas entre o sistema imunológico do receptor e o órgão transplantado. Fatores como a compatibilidade HLA (antígenos leucocitários humanos) entre doador e receptor desempenham um papel crucial na determinação do risco de rejeição. Estratégias inovadoras estão sendo desenvolvidas, incluindo terapias direcionadas a células B, células T e citocinas inflamatórias, para mitigar o risco de rejeição crônica e melhorar a sobrevida do enxerto. Essas abordagens terapêuticas precisam ser equilibradas para evitar complicações relacionadas à imunossupressão excessiva, como infecções e malignidades pós-transplante. </w:t>
      </w:r>
    </w:p>
    <w:p w14:paraId="01DD2F8B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No contexto pediátrico, o transplante renal robótico surge como uma técnica promissora, apesar dos desafios específicos enfrentados nessa população. Como destacado por Grammens, Julien et al. (2021), a adaptação da cirurgia robótica para crianças apresenta desafios únicos, que requerem considerações especiais para garantir o sucesso do procedimento e a recuperação adequada do paciente. As dimensões reduzidas da anatomia pediátrica e a necessidade de precisão extrema durante a cirurgia representam desafios técnicos significativos para os cirurgiões. A gestão perioperatória de crianças submetidas a transplante renal robótico envolve aspectos como a seleção cuidadosa do paciente, otimização do tempo de isquemia, e minimização da morbidade perioperatória. Ainda assim, apesar desses desafios, a cirurgia robótica oferece vantagens potenciais, incluindo incisões </w:t>
      </w:r>
      <w:r>
        <w:rPr>
          <w:rFonts w:ascii="Arial" w:hAnsi="Arial"/>
          <w:sz w:val="24"/>
          <w:szCs w:val="24"/>
        </w:rPr>
        <w:lastRenderedPageBreak/>
        <w:t xml:space="preserve">menores, menor perda de sangue e recuperação mais rápida, o que pode ser particularmente benéfico para pacientes pediátricos. Estratégias multidisciplinares, envolvendo equipe cirúrgica, anestesistas, e pediatras, são essenciais para superar os desafios específicos e maximizar os benefícios do transplante renal robótico em pacientes pediátricos. </w:t>
      </w:r>
    </w:p>
    <w:p w14:paraId="1D758E50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Avaliando os desafios clínicos e cirúrgicos no transplante renal, Favi e Cacciola (2022) exploram a necessidade de uma abordagem personalizada para enfrentar essas complexidades. Considerando a diversidade de fatores envolvidos, como a compatibilidade imunológica e as condições médicas do paciente, uma abordagem individualizada pode melhorar os resultados e a qualidade de vida pós-transplante. A personalização do tratamento envolve uma avaliação abrangente do perfil imunológico do paciente, incluindo a identificação de anticorpos pré-formados e a análise da sensibilidade a antígenos HLA. Além disso, considerações sobre a presença de comorbidades, idade e história clínica do receptor são cruciais para orientar a escolha do regime imunossupressor e minimizar os riscos de rejeição e complicações pós-transplante. Estratégias cirúrgicas também devem ser adaptadas individualmente, levando em conta a anatomia do paciente, condições vasculares e possíveis complicações intra e pós-operatórias. A realização do transplante renal envolve várias etapas cirúrgicas complexas, desde a dissecção do rim do doador até a preparação do leito receptor no receptor. Durante a cirurgia, é essencial garantir a adequada hemostasia e manuseio delicado dos tecidos para minimizar o trauma ao órgão transplantado e aos tecidos circundantes. A anastomose vascular e ureteral precisa ser realizada com precisão para garantir uma boa vascularização do enxerto e a drenagem adequada da urina.</w:t>
      </w:r>
    </w:p>
    <w:p w14:paraId="41E149FD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A incorporação da tecnologia robótica no transplante renal levanta questões sobre sua viabilidade e eficácia clínica. Marzi, Vincenzo Li et al. (2022) analisam criticamente o papel da cirurgia robótica nesse contexto, questionando se está pronta para se tornar uma prática comum. Eles exploram os avanços recentes e os desafios remanescentes para determinar a viabilidade a longo prazo dessa abordagem. A utilização da cirurgia robótica no transplante renal representa um avanço significativo na área cirúrgica, </w:t>
      </w:r>
      <w:r>
        <w:rPr>
          <w:rFonts w:ascii="Arial" w:hAnsi="Arial"/>
          <w:sz w:val="24"/>
          <w:szCs w:val="24"/>
        </w:rPr>
        <w:lastRenderedPageBreak/>
        <w:t xml:space="preserve">oferecendo benefícios potenciais, como precisão aumentada, menor tempo de isquemia e recuperação mais rápida. No entanto, existem preocupações sobre a complexidade técnica e os custos associados à implementação desta tecnologia. A curva de aprendizado para cirurgiões que adotam a robótica também é uma consideração importante, pois a habilidade e experiência necessárias para realizar com sucesso transplantes renais robóticos podem variar significativamente. Ademais, questões relacionadas à segurança do paciente e resultados a longo prazo precisam ser cuidadosamente examinadas para garantir que a cirurgia robótica atenda aos padrões de eficácia e segurança exigidos. </w:t>
      </w:r>
    </w:p>
    <w:p w14:paraId="7AE03EDB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Em crianças submetidas a transplante renal, a rejeição mediada por anticorpos representa uma preocupação considerável, exigindo estratégias de tratamento específicas e inovadoras. Bertacchi, Massimiliano et al. (2022) examinam os desafios terapêuticos associados a essa complicação. No contexto cirúrgico, a rejeição mediada por anticorpos pode apresentar desafios adicionais, uma vez que compromete a viabilidade e o funcionamento adequado do enxerto renal. A cirurgia de explante e retransplante pode ser necessária em casos graves de rejeição, envolvendo a remoção do rim transplantado e a substituição por um novo órgão. Esse procedimento cirúrgico complexo requer uma abordagem cuidadosa para minimizar o risco de complicações intra e pós-operatórias, além de garantir a funcionalidade adequada do novo enxerto. Além disso, estratégias cirúrgicas específicas, como a seleção adequada do local de incisão e a técnica de anastomose vascular, são essenciais para garantir uma boa vascularização do novo rim e evitar complicações como trombose vascular. A terapia imunossupressora pós-transplante também desempenha um papel fundamental na prevenção da rejeição do novo enxerto, sendo necessária uma cuidadosa otimização e ajuste de acordo com a resposta individual do paciente. </w:t>
      </w:r>
    </w:p>
    <w:p w14:paraId="07D8507F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A perspectiva de transplantar rins com lesão renal aguda (LRA) oferece oportunidades e desafios únicos na prática clínica. Como discutido por Punukollu, Rachana et al. (2023), essa abordagem requer uma cuidadosa avaliação dos riscos e benefícios, bem como o desenvolvimento de protocolos de seleção de pacientes e técnicas de preservação de órgãos aprimoradas. No </w:t>
      </w:r>
      <w:r>
        <w:rPr>
          <w:rFonts w:ascii="Arial" w:hAnsi="Arial"/>
          <w:sz w:val="24"/>
          <w:szCs w:val="24"/>
        </w:rPr>
        <w:lastRenderedPageBreak/>
        <w:t>contexto cirúrgico, a transplantação de rins com lesão renal aguda pode apresentar desafios adicionais devido à necessidade de avaliação cuidadosa da viabilidade do órgão doador e da capacidade de recuperação do tecido renal. A seleção adequada do doador e receptor é crucial, considerando fatores como a gravidade da lesão renal aguda, tempo de isquemia e compatibilidade imunológica. Durante o procedimento cirúrgico, é essencial realizar uma cuidadosa manipulação do órgão doador para minimizar danos adicionais ao tecido renal comprometido. Além disso, técnicas de preservação de órgãos avançadas, como a perfusão ex vivo, podem ser empregadas para melhorar a qualidade e viabilidade do rim antes do transplante. Após a cirurgia, a monitorização cuidadosa do paciente receptor é necessária para detectar precocemente sinais de rejeição ou disfunção do enxerto, permitindo intervenções terapêuticas oportunas. Estratégias imunossupressoras específicas também podem ser necessárias para prevenir a rejeição do enxerto e promover a recuperação do tecido renal. Assim, a transplantação de rins com lesão renal aguda apresenta uma oportunidade de expandir a pool de órgãos doadores, mas requer uma abordagem cirúrgica e terapêutica cuidadosa para garantir resultados favoráveis a longo prazo para o receptor.</w:t>
      </w:r>
    </w:p>
    <w:p w14:paraId="1094D236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Ao longo de mais de três décadas de experiência em transplante renal pediátrico, Avilez, Natalia Dalsenter et al. (2024) analisam os fatores críticos associados ao sucesso desse procedimento. Suas descobertas destacam a importância da abordagem multidisciplinar e da evolução contínua das práticas clínicas para melhorar os resultados a longo prazo para crianças submetidas a transplante renal. No âmbito cirúrgico, a experiência acumulada ao longo dos anos tem proporcionado insights valiosos sobre técnicas de transplante específicas para pacientes pediátricos, levando a refinamentos na abordagem cirúrgica e no manejo perioperatório. A avaliação cuidadosa da anatomia do paciente, seleção do local de incisão e anastomoses vasculares precisas são aspectos críticos que contribuem para o sucesso do procedimento cirúrgico. Além disso, a coordenação eficaz entre a equipe cirúrgica, anestesistas, nefrologistas pediátricos e outros profissionais de saúde é fundamental para garantir uma abordagem integrada e abrangente no cuidado da criança receptora de transplante renal. Estratégias de preservação do órgão, como a perfusão ex vivo, também têm demonstrado ser benéficas para otimizar a </w:t>
      </w:r>
      <w:r>
        <w:rPr>
          <w:rFonts w:ascii="Arial" w:hAnsi="Arial"/>
          <w:sz w:val="24"/>
          <w:szCs w:val="24"/>
        </w:rPr>
        <w:lastRenderedPageBreak/>
        <w:t>qualidade e viabilidade do enxerto antes do transplante. No pós-operatório, a monitorização regular e a intervenção precoce em complicações potenciais são essenciais para garantir uma recuperação bem-sucedida e prevenir a rejeição do enxerto.</w:t>
      </w:r>
    </w:p>
    <w:p w14:paraId="38510C54" w14:textId="77777777" w:rsidR="00DA336B" w:rsidRDefault="00000000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  <w:r>
        <w:tab/>
      </w:r>
    </w:p>
    <w:tbl>
      <w:tblPr>
        <w:tblW w:w="850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2834"/>
        <w:gridCol w:w="4353"/>
      </w:tblGrid>
      <w:tr w:rsidR="00DA336B" w14:paraId="2180C11F" w14:textId="77777777">
        <w:trPr>
          <w:tblHeader/>
        </w:trPr>
        <w:tc>
          <w:tcPr>
            <w:tcW w:w="1317" w:type="dxa"/>
            <w:tcBorders>
              <w:top w:val="single" w:sz="6" w:space="0" w:color="E3E3E3"/>
              <w:bottom w:val="single" w:sz="6" w:space="0" w:color="E3E3E3"/>
            </w:tcBorders>
            <w:vAlign w:val="center"/>
          </w:tcPr>
          <w:p w14:paraId="1852BA86" w14:textId="77777777" w:rsidR="00DA336B" w:rsidRDefault="00000000">
            <w:pPr>
              <w:pStyle w:val="Ttulode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Autor e Ano</w:t>
            </w:r>
          </w:p>
        </w:tc>
        <w:tc>
          <w:tcPr>
            <w:tcW w:w="2834" w:type="dxa"/>
            <w:tcBorders>
              <w:top w:val="single" w:sz="6" w:space="0" w:color="E3E3E3"/>
              <w:bottom w:val="single" w:sz="6" w:space="0" w:color="E3E3E3"/>
            </w:tcBorders>
            <w:vAlign w:val="center"/>
          </w:tcPr>
          <w:p w14:paraId="38CA6F83" w14:textId="77777777" w:rsidR="00DA336B" w:rsidRDefault="00000000">
            <w:pPr>
              <w:pStyle w:val="Ttulode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Metodologia do Estudo</w:t>
            </w:r>
          </w:p>
        </w:tc>
        <w:tc>
          <w:tcPr>
            <w:tcW w:w="4353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tcMar>
              <w:left w:w="28" w:type="dxa"/>
              <w:right w:w="28" w:type="dxa"/>
            </w:tcMar>
            <w:vAlign w:val="center"/>
          </w:tcPr>
          <w:p w14:paraId="4924BD58" w14:textId="77777777" w:rsidR="00DA336B" w:rsidRDefault="00000000">
            <w:pPr>
              <w:pStyle w:val="Ttulode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Principais Conclusões</w:t>
            </w:r>
          </w:p>
        </w:tc>
      </w:tr>
      <w:tr w:rsidR="00DA336B" w14:paraId="5DB8422C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637D882B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Lai, Xingqiang et al. (2021)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61DDC584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Estudo sobre a rejeição crônica no transplante renal, abordando estratégias imunossupressoras e vigilância pós-transplante.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13EF4860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 rejeição crônica é uma preocupação significativa, exigindo estratégias imunossupressoras eficazes e monitoramento contínuo para melhorar os resultados do paciente. Estratégias inovadoras estão sendo desenvolvidas para mitigar o risco de rejeição crônica e melhorar a sobrevida do enxerto, incluindo terapias direcionadas a células B, células T e citocinas inflamatórias.</w:t>
            </w:r>
          </w:p>
        </w:tc>
      </w:tr>
      <w:tr w:rsidR="00DA336B" w14:paraId="7F205F7E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00CF6DC7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Grammens, Julien et al. (2021)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30B30BF7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Exploração dos desafios e benefícios do transplante renal robótico em crianças, enfatizando a necessidade de uma abordagem multidisciplinar.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5FDEBDB3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 transplante renal robótico apresenta vantagens potenciais, como incisões menores e recuperação mais rápida, mas enfrenta desafios técnicos significativos devido às dimensões reduzidas da anatomia pediátrica. A colaboração multidisciplinar é essencial para garantir o sucesso do procedimento e a recuperação adequada do paciente pediátrico.</w:t>
            </w:r>
          </w:p>
        </w:tc>
      </w:tr>
      <w:tr w:rsidR="00DA336B" w14:paraId="791CADC0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17FC56AB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Favi e Cacciola (2022)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46959531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Análise dos desafios clínicos e cirúrgicos no transplante renal, defendendo uma abordagem personalizada para melhorar os resultados pós-transplante.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7389660B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Uma abordagem individualizada considerando a compatibilidade imunológica e as condições médicas do paciente pode melhorar os resultados e a qualidade de vida pós-transplante. É crucial adaptar as estratégias cirúrgicas às características individuais do paciente para minimizar complicações e maximizar os benefícios do transplante renal.</w:t>
            </w:r>
          </w:p>
        </w:tc>
      </w:tr>
      <w:tr w:rsidR="00DA336B" w14:paraId="2CAE51B2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5C42A565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Marzi, Vincenzo Li et al. (2022)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03CFFD45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Análise crítica do papel da cirurgia robótica no transplante renal, examinando avanços e desafios para determinar sua viabilidade a longo prazo.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5D33F0EB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 cirurgia robótica oferece benefícios potenciais, como precisão aumentada e recuperação mais rápida, mas enfrenta desafios técnicos e questões relacionadas à segurança do paciente e resultados a longo prazo. É necessária uma curva de aprendizado para cirurgiões adotarem a tecnologia e estratégias para equilibrar os benefícios e riscos associados.</w:t>
            </w:r>
          </w:p>
        </w:tc>
      </w:tr>
      <w:tr w:rsidR="00DA336B" w14:paraId="3ACD5AF7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3680E9D7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Bertacchi, Massimiliano et al. (2022)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0A979E39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Análise dos desafios terapêuticos associados à rejeição mediada por anticorpos no transplante renal, com foco nas estratégias cirúrgicas para enfrentar essa complicação.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759D9E43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 rejeição mediada por anticorpos apresenta desafios cirúrgicos adicionais, exigindo uma abordagem cuidadosa para minimizar complicações e garantir a funcionalidade adequada do novo enxerto. A terapia imunossupressora pós-transplante também desempenha um papel crucial na prevenção da rejeição e na promoção da recuperação do tecido renal.</w:t>
            </w:r>
          </w:p>
        </w:tc>
      </w:tr>
      <w:tr w:rsidR="00DA336B" w14:paraId="3794E2DA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73277B7C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Punukollu, Rachana et al. (2023)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4CB9485F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Avaliação dos desafios e oportunidades associados ao transplante de rins com lesão renal aguda, discutindo protocolos de seleção de pacientes e técnicas de preservação de órgãos.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7B1A35F5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 transplantação de rins com lesão renal aguda apresenta oportunidades de expandir a pool de órgãos doadores, mas requer uma abordagem cirúrgica e terapêutica cuidadosa para garantir resultados favoráveis a longo prazo para o receptor. É essencial uma avaliação criteriosa do órgão doador e a implementação de técnicas de preservação de órgãos aprimoradas para otimizar a qualidade do enxerto.</w:t>
            </w:r>
          </w:p>
        </w:tc>
      </w:tr>
      <w:tr w:rsidR="00DA336B" w14:paraId="2F792136" w14:textId="77777777">
        <w:tc>
          <w:tcPr>
            <w:tcW w:w="1317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65CF9FEE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Avilez, Natalia Dalsenter et al. (2024)</w:t>
            </w:r>
          </w:p>
        </w:tc>
        <w:tc>
          <w:tcPr>
            <w:tcW w:w="2834" w:type="dxa"/>
            <w:tcBorders>
              <w:bottom w:val="single" w:sz="6" w:space="0" w:color="E3E3E3"/>
            </w:tcBorders>
            <w:tcMar>
              <w:top w:w="0" w:type="dxa"/>
            </w:tcMar>
            <w:vAlign w:val="center"/>
          </w:tcPr>
          <w:p w14:paraId="69376C63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Análise dos fatores críticos associados ao sucesso do transplante renal pediátrico, destacando a importância da abordagem multidisciplinar e da evolução das práticas clínicas.</w:t>
            </w:r>
          </w:p>
        </w:tc>
        <w:tc>
          <w:tcPr>
            <w:tcW w:w="4353" w:type="dxa"/>
            <w:tcBorders>
              <w:bottom w:val="single" w:sz="6" w:space="0" w:color="E3E3E3"/>
              <w:right w:val="single" w:sz="6" w:space="0" w:color="E3E3E3"/>
            </w:tcBorders>
            <w:tcMar>
              <w:top w:w="0" w:type="dxa"/>
              <w:right w:w="28" w:type="dxa"/>
            </w:tcMar>
            <w:vAlign w:val="center"/>
          </w:tcPr>
          <w:p w14:paraId="0E4606A2" w14:textId="77777777" w:rsidR="00DA336B" w:rsidRDefault="00000000"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 experiência acumulada ao longo dos anos tem proporcionado insights valiosos sobre técnicas cirúrgicas específicas para pacientes pediátricos, levando a refinamentos na abordagem cirúrgica e no manejo perioperatório. A colaboração entre diversos especialistas é fundamental para garantir uma abordagem integrada e abrangente no cuidado da criança receptora de transplante renal.</w:t>
            </w:r>
          </w:p>
        </w:tc>
      </w:tr>
    </w:tbl>
    <w:p w14:paraId="54FBDC79" w14:textId="77777777" w:rsidR="00DA336B" w:rsidRDefault="00000000">
      <w:pPr>
        <w:pStyle w:val="Corpodetexto"/>
        <w:rPr>
          <w:sz w:val="20"/>
          <w:szCs w:val="20"/>
        </w:rPr>
      </w:pPr>
      <w:r>
        <w:rPr>
          <w:rFonts w:ascii="Arial" w:eastAsia="Cambria" w:hAnsi="Arial" w:cstheme="minorHAnsi"/>
          <w:sz w:val="20"/>
          <w:szCs w:val="20"/>
          <w:lang w:val="pt-BR"/>
        </w:rPr>
        <w:t>Fonte: autoria própria.</w:t>
      </w:r>
    </w:p>
    <w:p w14:paraId="5D45EF36" w14:textId="77777777" w:rsidR="00DA336B" w:rsidRDefault="00DA336B">
      <w:pPr>
        <w:tabs>
          <w:tab w:val="left" w:pos="558"/>
        </w:tabs>
        <w:spacing w:before="47" w:line="360" w:lineRule="auto"/>
        <w:jc w:val="both"/>
        <w:rPr>
          <w:rFonts w:ascii="Arial" w:hAnsi="Arial"/>
          <w:sz w:val="24"/>
          <w:szCs w:val="24"/>
        </w:rPr>
      </w:pPr>
    </w:p>
    <w:p w14:paraId="5EF6E1FA" w14:textId="77777777" w:rsidR="00DA336B" w:rsidRDefault="00000000">
      <w:pPr>
        <w:numPr>
          <w:ilvl w:val="0"/>
          <w:numId w:val="1"/>
        </w:numPr>
        <w:tabs>
          <w:tab w:val="left" w:pos="142"/>
        </w:tabs>
        <w:spacing w:before="80"/>
        <w:ind w:left="142" w:right="879" w:firstLine="2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CONCLUSÃO</w:t>
      </w:r>
    </w:p>
    <w:p w14:paraId="40481B39" w14:textId="77777777" w:rsidR="00DA336B" w:rsidRDefault="00DA336B">
      <w:pPr>
        <w:pStyle w:val="PargrafodaLista"/>
        <w:tabs>
          <w:tab w:val="left" w:pos="142"/>
        </w:tabs>
        <w:ind w:left="142" w:firstLine="2"/>
        <w:rPr>
          <w:b/>
          <w:bCs/>
          <w:sz w:val="24"/>
          <w:szCs w:val="24"/>
        </w:rPr>
      </w:pPr>
    </w:p>
    <w:p w14:paraId="294926A9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Após analisar os diversos desafios e perspectivas abordados nas discussões sobre transplante renal, é evidente que este campo enfrenta uma série de complexidades que demandam abordagens inovadoras e adaptações contínuas. A rejeição crônica do órgão transplantado emerge como uma das principais preocupações, destacando a necessidade premente de estratégias imunossupressoras eficazes e vigilância rigorosa no pós-transplante para otimizar os resultados do paciente. No contexto pediátrico, a introdução da </w:t>
      </w:r>
      <w:r>
        <w:rPr>
          <w:rFonts w:ascii="Arial" w:hAnsi="Arial"/>
          <w:sz w:val="24"/>
          <w:szCs w:val="24"/>
        </w:rPr>
        <w:lastRenderedPageBreak/>
        <w:t>cirurgia robótica oferece promessas significativas, mas também apresenta desafios técnicos específicos que exigem uma abordagem multidisciplinar e cuidadosa para garantir a segurança e eficácia do procedimento, destacando a importância da colaboração entre cirurgiões, anestesistas e pediatras.</w:t>
      </w:r>
    </w:p>
    <w:p w14:paraId="765CE9C6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Além disso, a personalização do tratamento no transplante renal surge como uma estratégia crucial para enfrentar as complexidades clínicas e cirúrgicas envolvidas. Considerando a diversidade de fatores individuais, como a compatibilidade imunológica e as condições médicas do paciente, uma abordagem individualizada pode melhorar significativamente os resultados e a qualidade de vida pós-transplante. A necessidade de uma avaliação abrangente do perfil imunológico do paciente e adaptação das estratégias cirúrgicas às características individuais destacam a importância de uma abordagem personalizada para otimizar os resultados a longo prazo.</w:t>
      </w:r>
    </w:p>
    <w:p w14:paraId="65813C9A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Outro aspecto crítico abordado nas discussões é a viabilidade e eficácia da incorporação da tecnologia robótica no transplante renal. Embora ofereça vantagens potenciais, como precisão aumentada e recuperação mais rápida, a implementação da cirurgia robótica enfrenta desafios técnicos, curva de aprendizado para os cirurgiões e questões relacionadas à segurança do paciente e resultados a longo prazo. É essencial uma avaliação cuidadosa dos benefícios e riscos associados à adoção desta tecnologia para garantir sua eficácia e segurança clínica.</w:t>
      </w:r>
    </w:p>
    <w:p w14:paraId="29FEBA89" w14:textId="77777777" w:rsidR="00DA336B" w:rsidRDefault="00000000">
      <w:pPr>
        <w:pStyle w:val="Corpodetexto"/>
        <w:tabs>
          <w:tab w:val="left" w:pos="558"/>
        </w:tabs>
        <w:spacing w:before="47" w:line="360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</w:rPr>
        <w:t>Por fim, a abordagem do transplante de rins com lesão renal aguda apresenta oportunidades de expandir a disponibilidade de órgãos doadores, mas requer uma abordagem cirúrgica e terapêutica cuidadosa para garantir resultados favoráveis a longo prazo para o receptor. A implementação de protocolos de seleção de pacientes e técnicas de preservação de órgãos aprimoradas são fundamentais para otimizar a qualidade do enxerto e minimizar os riscos associados à transplantação de rins com lesão renal aguda. Em conjunto, essas considerações finais refletem a complexidade do campo do transplante renal e a necessidade contínua de inovação e colaboração para melhorar os resultados clínicos e a qualidade de vida dos pacientes.</w:t>
      </w:r>
    </w:p>
    <w:p w14:paraId="2C46E466" w14:textId="77777777" w:rsidR="00DA336B" w:rsidRDefault="00DA336B">
      <w:pPr>
        <w:pStyle w:val="Corpodetexto"/>
        <w:tabs>
          <w:tab w:val="left" w:pos="558"/>
        </w:tabs>
        <w:spacing w:before="47" w:line="360" w:lineRule="auto"/>
        <w:ind w:firstLine="720"/>
        <w:jc w:val="both"/>
        <w:rPr>
          <w:rFonts w:ascii="Arial" w:hAnsi="Arial"/>
          <w:sz w:val="24"/>
          <w:szCs w:val="24"/>
        </w:rPr>
      </w:pPr>
    </w:p>
    <w:p w14:paraId="36B4F399" w14:textId="77777777" w:rsidR="00DA336B" w:rsidRDefault="00000000">
      <w:pPr>
        <w:numPr>
          <w:ilvl w:val="0"/>
          <w:numId w:val="1"/>
        </w:numPr>
        <w:tabs>
          <w:tab w:val="left" w:pos="142"/>
        </w:tabs>
        <w:spacing w:before="80"/>
        <w:ind w:left="142" w:right="879" w:firstLine="2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56F2068D" w14:textId="77777777" w:rsidR="00DA336B" w:rsidRDefault="00DA336B">
      <w:pPr>
        <w:rPr>
          <w:b/>
          <w:sz w:val="24"/>
          <w:szCs w:val="24"/>
        </w:rPr>
      </w:pPr>
    </w:p>
    <w:p w14:paraId="1DF2447D" w14:textId="77777777" w:rsidR="00DA336B" w:rsidRDefault="00DA336B">
      <w:pPr>
        <w:pStyle w:val="Corpodetexto"/>
        <w:spacing w:before="59"/>
        <w:ind w:left="-426"/>
        <w:rPr>
          <w:rFonts w:asciiTheme="minorHAnsi" w:eastAsiaTheme="minorHAnsi" w:hAnsiTheme="minorHAnsi" w:cstheme="minorHAnsi"/>
        </w:rPr>
      </w:pPr>
    </w:p>
    <w:p w14:paraId="723A2D26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AVILEZ, Natalia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Dalsenter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Analysis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of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Factors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Related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to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the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Success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of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Pediatric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A 35 Years Experience.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Proceedings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56, p. 44-49, 2024.</w:t>
      </w:r>
    </w:p>
    <w:p w14:paraId="3CE2FE6B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6B473333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BERTACCHI, Massimiliano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Antibody-mediated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rejection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after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children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therapy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challenges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future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potential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treatments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. Clinical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36, p. e14608, 2022.</w:t>
      </w:r>
    </w:p>
    <w:p w14:paraId="25840DAF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560DCA9D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FAVI, Evaldo; CACCIOLA, Roberto. Clinical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Surgical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Challenges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Toward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a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Personalized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Approach? Medicina, v. 58, p. 604, 2022.</w:t>
      </w:r>
    </w:p>
    <w:p w14:paraId="6A22D348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551060B9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FONSEKA, Thomas. Evolution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of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techniques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robotic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with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perspectives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future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developments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Laparoscopic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,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Endoscopic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Robotic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Surgery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4, p. 3-8, 2021.</w:t>
      </w:r>
    </w:p>
    <w:p w14:paraId="705B84CD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0202A663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GRAMMENS, Julien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Pediatric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Challenges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Robot-Assisted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Frontiers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Surgery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8, artigo 649418, 2021.</w:t>
      </w:r>
    </w:p>
    <w:p w14:paraId="3AB5C575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6A64FAC3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LAI,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Xingqiang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Tackling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Chronic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Rejection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Challenges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Promises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Frontiers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Immunology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12, p. 661643, 2021.</w:t>
      </w:r>
    </w:p>
    <w:p w14:paraId="3EF4F2D7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56150070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MARZI, Vincenzo Li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Robot-assisted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Is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it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getting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ready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for prime time? World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Journal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of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12, n. 7, p. 163-174, julho de 2022.</w:t>
      </w:r>
    </w:p>
    <w:p w14:paraId="7EBEBCD3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765ED952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 w:cstheme="minorHAnsi"/>
          <w:sz w:val="24"/>
          <w:szCs w:val="24"/>
          <w:lang w:val="pt-BR"/>
        </w:rPr>
        <w:t xml:space="preserve">NOBLE, Johan et al.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of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Marginal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Organs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: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Immunological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Aspects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Therapeutic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Perspectives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.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Frontiers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in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Immunology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, Seção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Alloimmunity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 w:cstheme="minorHAnsi"/>
          <w:sz w:val="24"/>
          <w:szCs w:val="24"/>
          <w:lang w:val="pt-BR"/>
        </w:rPr>
        <w:t>Transplantation</w:t>
      </w:r>
      <w:proofErr w:type="spellEnd"/>
      <w:r>
        <w:rPr>
          <w:rFonts w:ascii="Arial" w:eastAsia="Cambria" w:hAnsi="Arial" w:cstheme="minorHAnsi"/>
          <w:sz w:val="24"/>
          <w:szCs w:val="24"/>
          <w:lang w:val="pt-BR"/>
        </w:rPr>
        <w:t>, v. 10, 2019.</w:t>
      </w:r>
    </w:p>
    <w:p w14:paraId="2FC40392" w14:textId="77777777" w:rsidR="00DA336B" w:rsidRDefault="00DA336B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</w:p>
    <w:p w14:paraId="0DC9B75B" w14:textId="77777777" w:rsidR="00DA336B" w:rsidRDefault="00000000">
      <w:pPr>
        <w:tabs>
          <w:tab w:val="left" w:pos="558"/>
        </w:tabs>
        <w:spacing w:before="47"/>
        <w:jc w:val="both"/>
        <w:rPr>
          <w:rFonts w:cstheme="minorHAnsi"/>
          <w:color w:val="2A6099"/>
        </w:rPr>
      </w:pPr>
      <w:r>
        <w:rPr>
          <w:rFonts w:ascii="Arial" w:eastAsia="Cambria" w:hAnsi="Arial"/>
          <w:sz w:val="24"/>
          <w:szCs w:val="24"/>
          <w:lang w:val="pt-BR"/>
        </w:rPr>
        <w:t xml:space="preserve">PUNUKOLLU,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Rachana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et al.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Past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,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Current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,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and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Future Perspectives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on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Transplanting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Acute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Kidney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Injury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Kidneys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 xml:space="preserve">. Clinical </w:t>
      </w:r>
      <w:proofErr w:type="spellStart"/>
      <w:r>
        <w:rPr>
          <w:rFonts w:ascii="Arial" w:eastAsia="Cambria" w:hAnsi="Arial"/>
          <w:sz w:val="24"/>
          <w:szCs w:val="24"/>
          <w:lang w:val="pt-BR"/>
        </w:rPr>
        <w:t>Practice</w:t>
      </w:r>
      <w:proofErr w:type="spellEnd"/>
      <w:r>
        <w:rPr>
          <w:rFonts w:ascii="Arial" w:eastAsia="Cambria" w:hAnsi="Arial"/>
          <w:sz w:val="24"/>
          <w:szCs w:val="24"/>
          <w:lang w:val="pt-BR"/>
        </w:rPr>
        <w:t>, v. 13, p. 944-958, 2023.</w:t>
      </w:r>
    </w:p>
    <w:sectPr w:rsidR="00DA336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295" w:footer="391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5891" w14:textId="77777777" w:rsidR="00DA681F" w:rsidRDefault="00DA681F">
      <w:r>
        <w:separator/>
      </w:r>
    </w:p>
  </w:endnote>
  <w:endnote w:type="continuationSeparator" w:id="0">
    <w:p w14:paraId="54EE93AF" w14:textId="77777777" w:rsidR="00DA681F" w:rsidRDefault="00DA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0419" w14:textId="14CC6D16" w:rsidR="00DA336B" w:rsidRDefault="007B4E4C">
    <w:pPr>
      <w:pStyle w:val="Corpodetexto"/>
      <w:spacing w:line="12" w:lineRule="auto"/>
      <w:rPr>
        <w:sz w:val="20"/>
      </w:rPr>
    </w:pPr>
    <w:r>
      <w:rPr>
        <w:noProof/>
      </w:rPr>
      <w:pict w14:anchorId="27ACED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7.25pt;margin-top:793.5pt;width:265.1pt;height:28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" filled="f" stroked="f">
          <v:path arrowok="t"/>
          <v:textbox inset="0,0,0,0">
            <w:txbxContent>
              <w:p w14:paraId="63F551D1" w14:textId="77777777" w:rsidR="007B4E4C" w:rsidRDefault="007B4E4C" w:rsidP="007B4E4C">
                <w:pPr>
                  <w:spacing w:before="15" w:line="259" w:lineRule="auto"/>
                  <w:ind w:left="761" w:right="4" w:hanging="742"/>
                  <w:jc w:val="center"/>
                  <w:rPr>
                    <w:rFonts w:ascii="Arial"/>
                    <w:i/>
                    <w:lang w:val="en-US"/>
                  </w:rPr>
                </w:pPr>
                <w:proofErr w:type="spellStart"/>
                <w:r>
                  <w:rPr>
                    <w:rFonts w:ascii="Arial"/>
                    <w:i/>
                    <w:lang w:val="en-US"/>
                  </w:rPr>
                  <w:t>Peri</w:t>
                </w:r>
                <w:r>
                  <w:rPr>
                    <w:rFonts w:ascii="Arial"/>
                    <w:i/>
                    <w:lang w:val="en-US"/>
                  </w:rPr>
                  <w:t>ó</w:t>
                </w:r>
                <w:r>
                  <w:rPr>
                    <w:rFonts w:ascii="Arial"/>
                    <w:i/>
                    <w:lang w:val="en-US"/>
                  </w:rPr>
                  <w:t>dicos</w:t>
                </w:r>
                <w:proofErr w:type="spellEnd"/>
                <w:r>
                  <w:rPr>
                    <w:rFonts w:ascii="Arial"/>
                    <w:i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"/>
                    <w:i/>
                    <w:lang w:val="en-US"/>
                  </w:rPr>
                  <w:t>Brasil</w:t>
                </w:r>
                <w:proofErr w:type="spellEnd"/>
                <w:r>
                  <w:rPr>
                    <w:rFonts w:ascii="Arial"/>
                    <w:i/>
                    <w:lang w:val="en-US"/>
                  </w:rPr>
                  <w:t xml:space="preserve">. Pesquisa </w:t>
                </w:r>
                <w:proofErr w:type="spellStart"/>
                <w:r>
                  <w:rPr>
                    <w:rFonts w:ascii="Arial"/>
                    <w:i/>
                    <w:lang w:val="en-US"/>
                  </w:rPr>
                  <w:t>Cient</w:t>
                </w:r>
                <w:r>
                  <w:rPr>
                    <w:rFonts w:ascii="Arial"/>
                    <w:i/>
                    <w:lang w:val="en-US"/>
                  </w:rPr>
                  <w:t>í</w:t>
                </w:r>
                <w:r>
                  <w:rPr>
                    <w:rFonts w:ascii="Arial"/>
                    <w:i/>
                    <w:lang w:val="en-US"/>
                  </w:rPr>
                  <w:t>fica</w:t>
                </w:r>
                <w:proofErr w:type="spellEnd"/>
              </w:p>
              <w:p w14:paraId="55509B63" w14:textId="50E4BB4F" w:rsidR="007B4E4C" w:rsidRPr="00D75703" w:rsidRDefault="007B4E4C" w:rsidP="007B4E4C">
                <w:pPr>
                  <w:spacing w:before="15" w:line="259" w:lineRule="auto"/>
                  <w:ind w:left="761" w:right="4" w:hanging="742"/>
                  <w:jc w:val="center"/>
                  <w:rPr>
                    <w:rFonts w:ascii="Arial"/>
                    <w:i/>
                    <w:lang w:val="en-US"/>
                  </w:rPr>
                </w:pPr>
                <w:r w:rsidRPr="00D75703">
                  <w:rPr>
                    <w:rFonts w:ascii="Arial"/>
                    <w:i/>
                    <w:lang w:val="en-US"/>
                  </w:rPr>
                  <w:t>Volume</w:t>
                </w:r>
                <w:r w:rsidRPr="00D75703">
                  <w:rPr>
                    <w:rFonts w:ascii="Arial"/>
                    <w:i/>
                    <w:spacing w:val="1"/>
                    <w:lang w:val="en-US"/>
                  </w:rPr>
                  <w:t xml:space="preserve"> </w:t>
                </w:r>
                <w:r>
                  <w:rPr>
                    <w:rFonts w:ascii="Arial"/>
                    <w:i/>
                    <w:lang w:val="en-US"/>
                  </w:rPr>
                  <w:t>3</w:t>
                </w:r>
                <w:r w:rsidRPr="00D75703">
                  <w:rPr>
                    <w:rFonts w:ascii="Arial"/>
                    <w:i/>
                    <w:lang w:val="en-US"/>
                  </w:rPr>
                  <w:t>,</w:t>
                </w:r>
                <w:r w:rsidRPr="00D75703">
                  <w:rPr>
                    <w:rFonts w:ascii="Arial"/>
                    <w:i/>
                    <w:spacing w:val="5"/>
                    <w:lang w:val="en-US"/>
                  </w:rPr>
                  <w:t xml:space="preserve"> </w:t>
                </w:r>
                <w:r w:rsidRPr="00D75703">
                  <w:rPr>
                    <w:rFonts w:ascii="Arial"/>
                    <w:i/>
                    <w:lang w:val="en-US"/>
                  </w:rPr>
                  <w:t>Issue</w:t>
                </w:r>
                <w:r w:rsidRPr="00D75703">
                  <w:rPr>
                    <w:rFonts w:ascii="Arial"/>
                    <w:i/>
                    <w:spacing w:val="-5"/>
                    <w:lang w:val="en-US"/>
                  </w:rPr>
                  <w:t xml:space="preserve"> </w:t>
                </w:r>
                <w:r>
                  <w:rPr>
                    <w:rFonts w:ascii="Arial"/>
                    <w:i/>
                    <w:lang w:val="en-US"/>
                  </w:rPr>
                  <w:t>1</w:t>
                </w:r>
                <w:r w:rsidRPr="00D75703">
                  <w:rPr>
                    <w:rFonts w:ascii="Arial"/>
                    <w:i/>
                    <w:lang w:val="en-US"/>
                  </w:rPr>
                  <w:t xml:space="preserve"> (20</w:t>
                </w:r>
                <w:r>
                  <w:rPr>
                    <w:rFonts w:ascii="Arial"/>
                    <w:i/>
                    <w:lang w:val="en-US"/>
                  </w:rPr>
                  <w:t>24</w:t>
                </w:r>
                <w:r w:rsidRPr="00D75703">
                  <w:rPr>
                    <w:rFonts w:ascii="Arial"/>
                    <w:i/>
                    <w:lang w:val="en-US"/>
                  </w:rPr>
                  <w:t>),</w:t>
                </w:r>
                <w:r w:rsidRPr="00D75703">
                  <w:rPr>
                    <w:rFonts w:ascii="Arial"/>
                    <w:i/>
                    <w:spacing w:val="-2"/>
                    <w:lang w:val="en-US"/>
                  </w:rPr>
                  <w:t xml:space="preserve"> </w:t>
                </w:r>
                <w:r w:rsidRPr="00D75703">
                  <w:rPr>
                    <w:rFonts w:ascii="Arial"/>
                    <w:i/>
                    <w:lang w:val="en-US"/>
                  </w:rPr>
                  <w:t>Page</w:t>
                </w:r>
                <w:r w:rsidRPr="00D75703">
                  <w:rPr>
                    <w:rFonts w:ascii="Arial"/>
                    <w:i/>
                    <w:spacing w:val="2"/>
                    <w:lang w:val="en-US"/>
                  </w:rPr>
                  <w:t xml:space="preserve"> </w:t>
                </w:r>
                <w:r w:rsidR="00B11F79">
                  <w:rPr>
                    <w:rFonts w:ascii="Arial"/>
                    <w:i/>
                    <w:lang w:val="en-US"/>
                  </w:rPr>
                  <w:t>38</w:t>
                </w:r>
                <w:r w:rsidRPr="00D75703">
                  <w:rPr>
                    <w:rFonts w:ascii="Arial"/>
                    <w:i/>
                    <w:lang w:val="en-US"/>
                  </w:rPr>
                  <w:t>-</w:t>
                </w:r>
                <w:r w:rsidR="00B11F79">
                  <w:rPr>
                    <w:rFonts w:ascii="Arial"/>
                    <w:i/>
                    <w:lang w:val="en-US"/>
                  </w:rPr>
                  <w:t>51</w:t>
                </w:r>
                <w:r w:rsidRPr="00D75703">
                  <w:rPr>
                    <w:rFonts w:ascii="Arial"/>
                    <w:i/>
                    <w:lang w:val="en-US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9E92" w14:textId="6DABB575" w:rsidR="00DA336B" w:rsidRDefault="007B4E4C">
    <w:pPr>
      <w:pStyle w:val="Corpodetexto"/>
      <w:spacing w:line="12" w:lineRule="auto"/>
      <w:rPr>
        <w:sz w:val="20"/>
      </w:rPr>
    </w:pPr>
    <w:r>
      <w:rPr>
        <w:noProof/>
      </w:rPr>
      <w:pict w14:anchorId="2102EF62">
        <v:rect id="Text Box 5" o:spid="_x0000_s1026" style="position:absolute;margin-left:154.6pt;margin-top:811.5pt;width:265.1pt;height:28.15pt;z-index:-251658240;visibility:visible;mso-wrap-style:square;mso-wrap-distance-left:0;mso-wrap-distance-top:0;mso-wrap-distance-right:.9pt;mso-wrap-distance-bottom:.8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" o:allowincell="f" filled="f" stroked="f" strokeweight="0">
          <v:textbox inset="0,0,0,0">
            <w:txbxContent>
              <w:p w14:paraId="261200D5" w14:textId="77777777" w:rsidR="00DA336B" w:rsidRDefault="00000000">
                <w:pPr>
                  <w:pStyle w:val="Contedodoquadro"/>
                  <w:spacing w:before="15" w:line="259" w:lineRule="auto"/>
                  <w:ind w:left="761" w:right="4" w:hanging="742"/>
                  <w:jc w:val="center"/>
                  <w:rPr>
                    <w:rFonts w:ascii="Arial" w:hAnsi="Arial"/>
                    <w:i/>
                    <w:lang w:val="en-US"/>
                  </w:rPr>
                </w:pPr>
                <w:proofErr w:type="spellStart"/>
                <w:r>
                  <w:rPr>
                    <w:rFonts w:ascii="Arial" w:hAnsi="Arial"/>
                    <w:i/>
                    <w:lang w:val="en-US"/>
                  </w:rPr>
                  <w:t>Periódicos</w:t>
                </w:r>
                <w:proofErr w:type="spellEnd"/>
                <w:r>
                  <w:rPr>
                    <w:rFonts w:ascii="Arial" w:hAnsi="Arial"/>
                    <w:i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i/>
                    <w:lang w:val="en-US"/>
                  </w:rPr>
                  <w:t>Brasil</w:t>
                </w:r>
                <w:proofErr w:type="spellEnd"/>
                <w:r>
                  <w:rPr>
                    <w:rFonts w:ascii="Arial" w:hAnsi="Arial"/>
                    <w:i/>
                    <w:lang w:val="en-US"/>
                  </w:rPr>
                  <w:t xml:space="preserve">. Pesquisa </w:t>
                </w:r>
                <w:proofErr w:type="spellStart"/>
                <w:r>
                  <w:rPr>
                    <w:rFonts w:ascii="Arial" w:hAnsi="Arial"/>
                    <w:i/>
                    <w:lang w:val="en-US"/>
                  </w:rPr>
                  <w:t>Científica</w:t>
                </w:r>
                <w:proofErr w:type="spellEnd"/>
              </w:p>
              <w:p w14:paraId="1BB6B63C" w14:textId="77777777" w:rsidR="00DA336B" w:rsidRDefault="00000000">
                <w:pPr>
                  <w:pStyle w:val="Contedodoquadro"/>
                  <w:spacing w:before="15" w:line="259" w:lineRule="auto"/>
                  <w:ind w:left="761" w:right="4" w:hanging="742"/>
                  <w:jc w:val="center"/>
                  <w:rPr>
                    <w:rFonts w:ascii="Arial" w:hAnsi="Arial"/>
                    <w:i/>
                    <w:lang w:val="en-US"/>
                  </w:rPr>
                </w:pPr>
                <w:r>
                  <w:rPr>
                    <w:rFonts w:ascii="Arial" w:hAnsi="Arial"/>
                    <w:i/>
                    <w:lang w:val="en-US"/>
                  </w:rPr>
                  <w:t>Volume</w:t>
                </w:r>
                <w:r>
                  <w:rPr>
                    <w:rFonts w:ascii="Arial" w:hAnsi="Arial"/>
                    <w:i/>
                    <w:spacing w:val="1"/>
                    <w:lang w:val="en-US"/>
                  </w:rPr>
                  <w:t xml:space="preserve"> </w:t>
                </w:r>
                <w:r>
                  <w:rPr>
                    <w:rFonts w:ascii="Arial" w:hAnsi="Arial"/>
                    <w:i/>
                    <w:lang w:val="en-US"/>
                  </w:rPr>
                  <w:t>5,</w:t>
                </w:r>
                <w:r>
                  <w:rPr>
                    <w:rFonts w:ascii="Arial" w:hAnsi="Arial"/>
                    <w:i/>
                    <w:spacing w:val="5"/>
                    <w:lang w:val="en-US"/>
                  </w:rPr>
                  <w:t xml:space="preserve"> </w:t>
                </w:r>
                <w:r>
                  <w:rPr>
                    <w:rFonts w:ascii="Arial" w:hAnsi="Arial"/>
                    <w:i/>
                    <w:lang w:val="en-US"/>
                  </w:rPr>
                  <w:t>Issue</w:t>
                </w:r>
                <w:r>
                  <w:rPr>
                    <w:rFonts w:ascii="Arial" w:hAnsi="Arial"/>
                    <w:i/>
                    <w:spacing w:val="-5"/>
                    <w:lang w:val="en-US"/>
                  </w:rPr>
                  <w:t xml:space="preserve"> </w:t>
                </w:r>
                <w:r>
                  <w:rPr>
                    <w:rFonts w:ascii="Arial" w:hAnsi="Arial"/>
                    <w:i/>
                    <w:lang w:val="en-US"/>
                  </w:rPr>
                  <w:t>3 (2023),</w:t>
                </w:r>
                <w:r>
                  <w:rPr>
                    <w:rFonts w:ascii="Arial" w:hAnsi="Arial"/>
                    <w:i/>
                    <w:spacing w:val="-2"/>
                    <w:lang w:val="en-US"/>
                  </w:rPr>
                  <w:t xml:space="preserve"> </w:t>
                </w:r>
                <w:r>
                  <w:rPr>
                    <w:rFonts w:ascii="Arial" w:hAnsi="Arial"/>
                    <w:i/>
                    <w:lang w:val="en-US"/>
                  </w:rPr>
                  <w:t>Page</w:t>
                </w:r>
                <w:r>
                  <w:rPr>
                    <w:rFonts w:ascii="Arial" w:hAnsi="Arial"/>
                    <w:i/>
                    <w:spacing w:val="2"/>
                    <w:lang w:val="en-US"/>
                  </w:rPr>
                  <w:t xml:space="preserve"> </w:t>
                </w:r>
                <w:r>
                  <w:rPr>
                    <w:rFonts w:ascii="Arial" w:hAnsi="Arial"/>
                    <w:i/>
                    <w:lang w:val="en-US"/>
                  </w:rPr>
                  <w:t>05-43.</w:t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A6D35" w14:textId="77777777" w:rsidR="00DA681F" w:rsidRDefault="00DA681F">
      <w:r>
        <w:separator/>
      </w:r>
    </w:p>
  </w:footnote>
  <w:footnote w:type="continuationSeparator" w:id="0">
    <w:p w14:paraId="620E632D" w14:textId="77777777" w:rsidR="00DA681F" w:rsidRDefault="00DA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B928" w14:textId="1B5CF8F5" w:rsidR="00DA336B" w:rsidRDefault="007B4E4C">
    <w:pPr>
      <w:pStyle w:val="Corpodetexto"/>
      <w:spacing w:line="12" w:lineRule="auto"/>
      <w:rPr>
        <w:sz w:val="20"/>
      </w:rPr>
    </w:pPr>
    <w:r>
      <w:rPr>
        <w:noProof/>
      </w:rPr>
      <w:pict w14:anchorId="31135572">
        <v:rect id="Text Box 6" o:spid="_x0000_s1028" style="position:absolute;margin-left:118.95pt;margin-top:13.75pt;width:376.2pt;height:36.6pt;z-index:-251661312;visibility:visible;mso-wrap-style:square;mso-wrap-distance-left:0;mso-wrap-distance-top:0;mso-wrap-distance-right:.8pt;mso-wrap-distance-bottom:.4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" o:allowincell="f" filled="f" stroked="f" strokeweight="0">
          <v:textbox inset="0,0,0,0">
            <w:txbxContent>
              <w:p w14:paraId="364E9BE9" w14:textId="77777777" w:rsidR="007B4E4C" w:rsidRDefault="007B4E4C">
                <w:pPr>
                  <w:pStyle w:val="Contedodoquadro"/>
                  <w:ind w:left="20" w:right="18"/>
                  <w:jc w:val="center"/>
                  <w:rPr>
                    <w:rFonts w:ascii="Calibri" w:hAnsi="Calibri"/>
                    <w:b/>
                    <w:bCs/>
                    <w:i/>
                    <w:iCs/>
                    <w:sz w:val="20"/>
                  </w:rPr>
                </w:pPr>
                <w:r w:rsidRPr="007B4E4C">
                  <w:rPr>
                    <w:rFonts w:ascii="Calibri" w:hAnsi="Calibri"/>
                    <w:b/>
                    <w:bCs/>
                    <w:i/>
                    <w:iCs/>
                    <w:sz w:val="20"/>
                  </w:rPr>
                  <w:t>Cirurgia de Transplante Renal: Desafios e Perspectivas Futuras na Melhoria dos Resultados dos Pacientes</w:t>
                </w:r>
              </w:p>
              <w:p w14:paraId="79C59F8E" w14:textId="7E221E17" w:rsidR="00DA336B" w:rsidRDefault="007B4E4C">
                <w:pPr>
                  <w:pStyle w:val="Contedodoquadro"/>
                  <w:ind w:left="20" w:right="18"/>
                  <w:jc w:val="center"/>
                  <w:rPr>
                    <w:rFonts w:ascii="Calibri" w:hAnsi="Calibri"/>
                    <w:i/>
                    <w:sz w:val="20"/>
                  </w:rPr>
                </w:pPr>
                <w:r>
                  <w:rPr>
                    <w:rFonts w:ascii="Calibri" w:hAnsi="Calibri"/>
                    <w:i/>
                    <w:sz w:val="20"/>
                  </w:rPr>
                  <w:t>Roldi</w:t>
                </w:r>
                <w:r w:rsidR="00000000">
                  <w:rPr>
                    <w:rFonts w:ascii="Calibri" w:hAnsi="Calibri"/>
                    <w:i/>
                    <w:sz w:val="20"/>
                  </w:rPr>
                  <w:t xml:space="preserve"> et. al.</w:t>
                </w:r>
              </w:p>
            </w:txbxContent>
          </v:textbox>
          <w10:wrap anchorx="page" anchory="page"/>
        </v:rect>
      </w:pict>
    </w:r>
    <w:r w:rsidR="00000000">
      <w:rPr>
        <w:noProof/>
        <w:sz w:val="20"/>
      </w:rPr>
      <w:drawing>
        <wp:anchor distT="0" distB="0" distL="0" distR="0" simplePos="0" relativeHeight="251659264" behindDoc="1" locked="0" layoutInCell="1" allowOverlap="1" wp14:anchorId="21BF224F" wp14:editId="3C93F376">
          <wp:simplePos x="0" y="0"/>
          <wp:positionH relativeFrom="column">
            <wp:posOffset>-297180</wp:posOffset>
          </wp:positionH>
          <wp:positionV relativeFrom="paragraph">
            <wp:posOffset>-92075</wp:posOffset>
          </wp:positionV>
          <wp:extent cx="594360" cy="424180"/>
          <wp:effectExtent l="0" t="0" r="0" b="0"/>
          <wp:wrapNone/>
          <wp:docPr id="5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4B2B9" w14:textId="7FDC327A" w:rsidR="00DA336B" w:rsidRDefault="007B4E4C">
    <w:pPr>
      <w:pStyle w:val="Corpodetexto"/>
      <w:spacing w:line="12" w:lineRule="auto"/>
      <w:rPr>
        <w:sz w:val="20"/>
      </w:rPr>
    </w:pPr>
    <w:r>
      <w:rPr>
        <w:noProof/>
      </w:rPr>
      <w:pict w14:anchorId="51BEED1F">
        <v:rect id="_x0000_s1027" style="position:absolute;margin-left:118.95pt;margin-top:13.75pt;width:376.2pt;height:36.6pt;z-index:-251660288;visibility:visible;mso-wrap-style:square;mso-wrap-distance-left:0;mso-wrap-distance-top:0;mso-wrap-distance-right:.8pt;mso-wrap-distance-bottom:.4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" o:allowincell="f" filled="f" stroked="f" strokeweight="0">
          <v:textbox inset="0,0,0,0">
            <w:txbxContent>
              <w:p w14:paraId="2CE75070" w14:textId="77777777" w:rsidR="00DA336B" w:rsidRDefault="00000000">
                <w:pPr>
                  <w:pStyle w:val="Contedodoquadro"/>
                  <w:ind w:left="20" w:right="18"/>
                  <w:jc w:val="center"/>
                  <w:rPr>
                    <w:rFonts w:ascii="Calibri" w:hAnsi="Calibri"/>
                    <w:b/>
                    <w:bCs/>
                    <w:i/>
                    <w:iCs/>
                    <w:sz w:val="20"/>
                  </w:rPr>
                </w:pPr>
                <w:r>
                  <w:rPr>
                    <w:rFonts w:ascii="Calibri" w:hAnsi="Calibri"/>
                    <w:b/>
                    <w:bCs/>
                    <w:i/>
                    <w:iCs/>
                    <w:sz w:val="20"/>
                  </w:rPr>
                  <w:t>Título</w:t>
                </w:r>
              </w:p>
              <w:p w14:paraId="41059AA0" w14:textId="77777777" w:rsidR="00DA336B" w:rsidRDefault="00000000">
                <w:pPr>
                  <w:pStyle w:val="Contedodoquadro"/>
                  <w:ind w:left="20" w:right="18"/>
                  <w:jc w:val="center"/>
                  <w:rPr>
                    <w:rFonts w:ascii="Calibri" w:hAnsi="Calibri"/>
                    <w:i/>
                    <w:sz w:val="20"/>
                  </w:rPr>
                </w:pPr>
                <w:r>
                  <w:rPr>
                    <w:rFonts w:ascii="Calibri" w:hAnsi="Calibri"/>
                    <w:iCs/>
                    <w:sz w:val="20"/>
                  </w:rPr>
                  <w:t>Autor 1</w:t>
                </w:r>
                <w:r>
                  <w:rPr>
                    <w:rFonts w:ascii="Calibri" w:hAnsi="Calibri"/>
                    <w:i/>
                    <w:sz w:val="20"/>
                  </w:rPr>
                  <w:t xml:space="preserve"> et. al.</w:t>
                </w:r>
              </w:p>
            </w:txbxContent>
          </v:textbox>
          <w10:wrap anchorx="page" anchory="page"/>
        </v:rect>
      </w:pict>
    </w:r>
    <w:r w:rsidR="00000000">
      <w:rPr>
        <w:noProof/>
        <w:sz w:val="20"/>
      </w:rPr>
      <w:drawing>
        <wp:anchor distT="0" distB="0" distL="0" distR="0" simplePos="0" relativeHeight="251660288" behindDoc="1" locked="0" layoutInCell="1" allowOverlap="1" wp14:anchorId="42EA8F94" wp14:editId="3B930026">
          <wp:simplePos x="0" y="0"/>
          <wp:positionH relativeFrom="column">
            <wp:posOffset>-297180</wp:posOffset>
          </wp:positionH>
          <wp:positionV relativeFrom="paragraph">
            <wp:posOffset>-92075</wp:posOffset>
          </wp:positionV>
          <wp:extent cx="594360" cy="424180"/>
          <wp:effectExtent l="0" t="0" r="0" b="0"/>
          <wp:wrapNone/>
          <wp:docPr id="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1326"/>
    <w:multiLevelType w:val="multilevel"/>
    <w:tmpl w:val="A934A1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1B61CD"/>
    <w:multiLevelType w:val="multilevel"/>
    <w:tmpl w:val="5DB8B390"/>
    <w:lvl w:ilvl="0">
      <w:start w:val="1"/>
      <w:numFmt w:val="decimal"/>
      <w:lvlText w:val="%1"/>
      <w:lvlJc w:val="left"/>
      <w:pPr>
        <w:tabs>
          <w:tab w:val="num" w:pos="0"/>
        </w:tabs>
        <w:ind w:left="282" w:hanging="18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96" w:hanging="18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13" w:hanging="18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9" w:hanging="18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6" w:hanging="18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3" w:hanging="18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18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96" w:hanging="18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13" w:hanging="180"/>
      </w:pPr>
      <w:rPr>
        <w:rFonts w:ascii="Symbol" w:hAnsi="Symbol" w:cs="Symbol" w:hint="default"/>
        <w:lang w:val="pt-PT" w:eastAsia="en-US" w:bidi="ar-SA"/>
      </w:rPr>
    </w:lvl>
  </w:abstractNum>
  <w:num w:numId="1" w16cid:durableId="697241835">
    <w:abstractNumId w:val="1"/>
  </w:num>
  <w:num w:numId="2" w16cid:durableId="13063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36B"/>
    <w:rsid w:val="007B4E4C"/>
    <w:rsid w:val="00B11F79"/>
    <w:rsid w:val="00DA336B"/>
    <w:rsid w:val="00DA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F3C979F"/>
  <w15:docId w15:val="{85781FCD-06AD-4426-A172-068EF9AB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305"/>
      <w:outlineLvl w:val="0"/>
    </w:pPr>
    <w:rPr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692"/>
      <w:outlineLvl w:val="1"/>
    </w:pPr>
    <w:rPr>
      <w:rFonts w:ascii="Calibri" w:eastAsia="Calibri" w:hAnsi="Calibri" w:cs="Calibri"/>
      <w:b/>
      <w:bCs/>
      <w:i/>
      <w:iCs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48"/>
      <w:outlineLvl w:val="2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81B4F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381B4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567E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C567EC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D5679B"/>
    <w:rPr>
      <w:sz w:val="24"/>
      <w:szCs w:val="24"/>
    </w:rPr>
  </w:style>
  <w:style w:type="character" w:customStyle="1" w:styleId="Caracteresdenotaderodap">
    <w:name w:val="Caracteres de nota de rodapé"/>
    <w:qFormat/>
    <w:rsid w:val="00D5679B"/>
  </w:style>
  <w:style w:type="character" w:customStyle="1" w:styleId="Refdenotaderodap1">
    <w:name w:val="Ref. de nota de rodapé1"/>
    <w:qFormat/>
    <w:rsid w:val="00D5679B"/>
    <w:rPr>
      <w:vertAlign w:val="superscript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4A4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aracteresdenotadefim">
    <w:name w:val="Caracteres de nota de fim"/>
    <w:basedOn w:val="Fontepargpadro"/>
    <w:uiPriority w:val="99"/>
    <w:semiHidden/>
    <w:unhideWhenUsed/>
    <w:qFormat/>
    <w:rsid w:val="004A4AF5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qFormat/>
    <w:rsid w:val="00A54281"/>
    <w:rPr>
      <w:rFonts w:ascii="Times New Roman" w:eastAsia="Times New Roman" w:hAnsi="Times New Roman" w:cs="Times New Roman"/>
      <w:b/>
      <w:bCs/>
      <w:sz w:val="31"/>
      <w:szCs w:val="3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6D04E4"/>
    <w:rPr>
      <w:rFonts w:ascii="Times New Roman" w:eastAsia="Times New Roman" w:hAnsi="Times New Roman" w:cs="Times New Roman"/>
      <w:sz w:val="23"/>
      <w:szCs w:val="23"/>
      <w:lang w:val="pt-PT"/>
    </w:rPr>
  </w:style>
  <w:style w:type="character" w:styleId="Forte">
    <w:name w:val="Strong"/>
    <w:qFormat/>
    <w:rPr>
      <w:b/>
      <w:bCs/>
    </w:rPr>
  </w:style>
  <w:style w:type="paragraph" w:styleId="Ttulo">
    <w:name w:val="Title"/>
    <w:basedOn w:val="Normal"/>
    <w:next w:val="Corpodetexto"/>
    <w:uiPriority w:val="10"/>
    <w:qFormat/>
    <w:pPr>
      <w:spacing w:before="27"/>
      <w:ind w:left="1592" w:right="87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Corpodetexto">
    <w:name w:val="Body Text"/>
    <w:basedOn w:val="Normal"/>
    <w:link w:val="CorpodetextoChar"/>
    <w:uiPriority w:val="1"/>
    <w:qFormat/>
    <w:rPr>
      <w:sz w:val="23"/>
      <w:szCs w:val="23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144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2"/>
      <w:jc w:val="center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81B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B4F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D5679B"/>
    <w:pPr>
      <w:widowControl/>
      <w:spacing w:after="200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Corpoartigo">
    <w:name w:val="Corpo artigo"/>
    <w:basedOn w:val="Normal"/>
    <w:qFormat/>
    <w:rsid w:val="00C15B7F"/>
    <w:pPr>
      <w:widowControl/>
      <w:spacing w:after="120" w:line="276" w:lineRule="auto"/>
      <w:jc w:val="both"/>
    </w:pPr>
    <w:rPr>
      <w:rFonts w:ascii="Arial" w:eastAsia="Cambria" w:hAnsi="Arial" w:cs="Arial"/>
      <w:bCs/>
      <w:sz w:val="24"/>
      <w:szCs w:val="24"/>
      <w:lang w:val="pt-BR"/>
    </w:rPr>
  </w:style>
  <w:style w:type="paragraph" w:styleId="Reviso">
    <w:name w:val="Revision"/>
    <w:uiPriority w:val="99"/>
    <w:semiHidden/>
    <w:qFormat/>
    <w:rsid w:val="00C15B7F"/>
    <w:rPr>
      <w:rFonts w:ascii="Times New Roman" w:eastAsia="Times New Roman" w:hAnsi="Times New Roman" w:cs="Times New Roman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AF5"/>
    <w:rPr>
      <w:sz w:val="20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ourdesroldi@hot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6557/pbpc.v3i1.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CBE648-E969-1A4C-8F36-3A55207C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4232</Words>
  <Characters>22859</Characters>
  <Application>Microsoft Office Word</Application>
  <DocSecurity>0</DocSecurity>
  <Lines>190</Lines>
  <Paragraphs>54</Paragraphs>
  <ScaleCrop>false</ScaleCrop>
  <Company/>
  <LinksUpToDate>false</LinksUpToDate>
  <CharactersWithSpaces>27037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dc:description/>
  <cp:lastModifiedBy>Jamille lacerda</cp:lastModifiedBy>
  <cp:revision>29</cp:revision>
  <cp:lastPrinted>2023-05-03T14:19:00Z</cp:lastPrinted>
  <dcterms:created xsi:type="dcterms:W3CDTF">2023-06-06T13:49:00Z</dcterms:created>
  <dcterms:modified xsi:type="dcterms:W3CDTF">2024-03-24T19:22:00Z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